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1"/>
        <w:ind w:left="5368"/>
        <w:rPr>
          <w:rFonts w:ascii="Georgia" w:hAnsi="Georgia"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1008337</wp:posOffset>
            </wp:positionH>
            <wp:positionV relativeFrom="paragraph">
              <wp:posOffset>-586094</wp:posOffset>
            </wp:positionV>
            <wp:extent cx="2641607" cy="9414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07" cy="94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</w:rPr>
        <w:t>«</w:t>
      </w:r>
      <w:r>
        <w:rPr/>
        <w:t>The</w:t>
      </w:r>
      <w:r>
        <w:rPr>
          <w:spacing w:val="-4"/>
        </w:rPr>
        <w:t> </w:t>
      </w:r>
      <w:r>
        <w:rPr/>
        <w:t>scientific</w:t>
      </w:r>
      <w:r>
        <w:rPr>
          <w:spacing w:val="-4"/>
        </w:rPr>
        <w:t> </w:t>
      </w:r>
      <w:r>
        <w:rPr>
          <w:spacing w:val="-2"/>
        </w:rPr>
        <w:t>heritage</w:t>
      </w:r>
      <w:r>
        <w:rPr>
          <w:rFonts w:ascii="Georgia" w:hAnsi="Georgia"/>
          <w:spacing w:val="-2"/>
          <w:sz w:val="24"/>
        </w:rPr>
        <w:t>»</w:t>
      </w:r>
    </w:p>
    <w:p>
      <w:pPr>
        <w:pStyle w:val="BodyText"/>
        <w:spacing w:before="25"/>
        <w:ind w:left="5174"/>
        <w:rPr>
          <w:rFonts w:ascii="Times New Roman"/>
        </w:rPr>
      </w:pPr>
      <w:r>
        <w:rPr/>
        <w:pict>
          <v:shape style="position:absolute;margin-left:74.550003pt;margin-top:17.383123pt;width:478pt;height:.1pt;mso-position-horizontal-relative:page;mso-position-vertical-relative:paragraph;z-index:-15728640;mso-wrap-distance-left:0;mso-wrap-distance-right:0" id="docshape1" coordorigin="1491,348" coordsize="9560,0" path="m1491,348l11051,348e" filled="false" stroked="true" strokeweight=".5pt" strokecolor="#5b9bd4">
            <v:path arrowok="t"/>
            <v:stroke dashstyle="solid"/>
            <w10:wrap type="topAndBottom"/>
          </v:shape>
        </w:pict>
      </w:r>
      <w:r>
        <w:rPr>
          <w:rFonts w:ascii="Times New Roman"/>
        </w:rPr>
        <w:t>Budapest,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Kossuth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Lajos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utca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84,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4"/>
        </w:rPr>
        <w:t>1204</w:t>
      </w:r>
    </w:p>
    <w:p>
      <w:pPr>
        <w:spacing w:before="124"/>
        <w:ind w:left="758" w:right="645" w:firstLine="0"/>
        <w:jc w:val="center"/>
        <w:rPr>
          <w:sz w:val="21"/>
        </w:rPr>
      </w:pPr>
      <w:r>
        <w:rPr>
          <w:spacing w:val="-2"/>
          <w:sz w:val="21"/>
        </w:rPr>
        <w:t>Official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website: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tsh-journal.com.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Email:</w:t>
      </w:r>
      <w:r>
        <w:rPr>
          <w:spacing w:val="13"/>
          <w:sz w:val="21"/>
        </w:rPr>
        <w:t> </w:t>
      </w:r>
      <w:hyperlink r:id="rId6">
        <w:r>
          <w:rPr>
            <w:spacing w:val="-2"/>
            <w:sz w:val="21"/>
          </w:rPr>
          <w:t>public@tsh-journal.com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191"/>
        <w:ind w:left="761"/>
        <w:rPr>
          <w:rFonts w:ascii="Georgia"/>
        </w:rPr>
      </w:pPr>
      <w:r>
        <w:rPr>
          <w:rFonts w:ascii="Georgia"/>
          <w:spacing w:val="-2"/>
        </w:rPr>
        <w:t>CERTIFICATE</w:t>
      </w:r>
    </w:p>
    <w:p>
      <w:pPr>
        <w:spacing w:before="159"/>
        <w:ind w:left="753" w:right="645" w:firstLine="0"/>
        <w:jc w:val="center"/>
        <w:rPr>
          <w:b/>
          <w:sz w:val="24"/>
        </w:rPr>
      </w:pPr>
      <w:r>
        <w:rPr>
          <w:b/>
          <w:sz w:val="24"/>
        </w:rPr>
        <w:t>ABOUT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ACCEPTANCE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ARTICLE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PUBLICATION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1453" w:right="627" w:firstLine="0"/>
        <w:jc w:val="center"/>
        <w:rPr>
          <w:rFonts w:ascii="Times New Roman" w:hAnsi="Times New Roman"/>
          <w:b/>
          <w:sz w:val="28"/>
        </w:rPr>
      </w:pPr>
      <w:r>
        <w:rPr>
          <w:spacing w:val="-6"/>
          <w:sz w:val="24"/>
        </w:rPr>
        <w:t>Article: </w:t>
      </w:r>
      <w:r>
        <w:rPr>
          <w:rFonts w:ascii="Times New Roman" w:hAnsi="Times New Roman"/>
          <w:b/>
          <w:spacing w:val="-6"/>
          <w:sz w:val="24"/>
        </w:rPr>
        <w:t>«</w:t>
      </w:r>
      <w:r>
        <w:rPr>
          <w:rFonts w:ascii="Times New Roman" w:hAnsi="Times New Roman"/>
          <w:b/>
          <w:spacing w:val="-6"/>
          <w:sz w:val="28"/>
        </w:rPr>
        <w:t>MANAGING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pacing w:val="-6"/>
          <w:sz w:val="28"/>
        </w:rPr>
        <w:t>INTERNATIONALIZATION</w:t>
      </w:r>
      <w:r>
        <w:rPr>
          <w:rFonts w:ascii="Times New Roman" w:hAnsi="Times New Roman"/>
          <w:b/>
          <w:spacing w:val="-16"/>
          <w:sz w:val="28"/>
        </w:rPr>
        <w:t> </w:t>
      </w:r>
      <w:r>
        <w:rPr>
          <w:rFonts w:ascii="Times New Roman" w:hAnsi="Times New Roman"/>
          <w:b/>
          <w:spacing w:val="-6"/>
          <w:sz w:val="28"/>
        </w:rPr>
        <w:t>IN</w:t>
      </w:r>
      <w:r>
        <w:rPr>
          <w:rFonts w:ascii="Times New Roman" w:hAnsi="Times New Roman"/>
          <w:b/>
          <w:spacing w:val="-16"/>
          <w:sz w:val="28"/>
        </w:rPr>
        <w:t> </w:t>
      </w:r>
      <w:r>
        <w:rPr>
          <w:rFonts w:ascii="Times New Roman" w:hAnsi="Times New Roman"/>
          <w:b/>
          <w:spacing w:val="-6"/>
          <w:sz w:val="28"/>
        </w:rPr>
        <w:t>HIGHER</w:t>
      </w:r>
    </w:p>
    <w:p>
      <w:pPr>
        <w:pStyle w:val="Heading1"/>
        <w:spacing w:before="160"/>
        <w:ind w:right="645"/>
        <w:jc w:val="center"/>
      </w:pPr>
      <w:r>
        <w:rPr>
          <w:spacing w:val="-2"/>
        </w:rPr>
        <w:t>EDUCATION»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Heading2"/>
        <w:ind w:right="0"/>
        <w:jc w:val="left"/>
      </w:pPr>
      <w:r>
        <w:rPr>
          <w:rFonts w:ascii="Georgia"/>
          <w:b w:val="0"/>
        </w:rPr>
        <w:t>The</w:t>
      </w:r>
      <w:r>
        <w:rPr>
          <w:rFonts w:ascii="Georgia"/>
          <w:b w:val="0"/>
          <w:spacing w:val="-5"/>
        </w:rPr>
        <w:t> </w:t>
      </w:r>
      <w:r>
        <w:rPr>
          <w:rFonts w:ascii="Georgia"/>
          <w:b w:val="0"/>
        </w:rPr>
        <w:t>authors:</w:t>
      </w:r>
      <w:r>
        <w:rPr>
          <w:rFonts w:ascii="Georgia"/>
          <w:b w:val="0"/>
          <w:spacing w:val="-5"/>
        </w:rPr>
        <w:t> </w:t>
      </w:r>
      <w:r>
        <w:rPr/>
        <w:t>Amantai</w:t>
      </w:r>
      <w:r>
        <w:rPr>
          <w:spacing w:val="-5"/>
        </w:rPr>
        <w:t> </w:t>
      </w:r>
      <w:r>
        <w:rPr/>
        <w:t>A.,</w:t>
      </w:r>
      <w:r>
        <w:rPr>
          <w:spacing w:val="-4"/>
        </w:rPr>
        <w:t> </w:t>
      </w:r>
      <w:r>
        <w:rPr/>
        <w:t>Kakharmanova</w:t>
      </w:r>
      <w:r>
        <w:rPr>
          <w:spacing w:val="-4"/>
        </w:rPr>
        <w:t> </w:t>
      </w:r>
      <w:r>
        <w:rPr/>
        <w:t>A.,</w:t>
      </w:r>
      <w:r>
        <w:rPr>
          <w:spacing w:val="-7"/>
        </w:rPr>
        <w:t> </w:t>
      </w:r>
      <w:r>
        <w:rPr/>
        <w:t>Nyshanbek</w:t>
      </w:r>
      <w:r>
        <w:rPr>
          <w:spacing w:val="-5"/>
        </w:rPr>
        <w:t> </w:t>
      </w:r>
      <w:r>
        <w:rPr/>
        <w:t>T.,</w:t>
      </w:r>
      <w:r>
        <w:rPr>
          <w:spacing w:val="-6"/>
        </w:rPr>
        <w:t> </w:t>
      </w:r>
      <w:r>
        <w:rPr/>
        <w:t>Tileubayeva</w:t>
      </w:r>
      <w:r>
        <w:rPr>
          <w:spacing w:val="-5"/>
        </w:rPr>
        <w:t> M.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pStyle w:val="BodyText"/>
        <w:ind w:left="222"/>
      </w:pPr>
      <w:r>
        <w:rPr/>
        <w:t>The</w:t>
      </w:r>
      <w:r>
        <w:rPr>
          <w:spacing w:val="8"/>
        </w:rPr>
        <w:t> </w:t>
      </w:r>
      <w:r>
        <w:rPr/>
        <w:t>article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accepted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publication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issue</w:t>
      </w:r>
      <w:r>
        <w:rPr>
          <w:spacing w:val="12"/>
        </w:rPr>
        <w:t> </w:t>
      </w:r>
      <w:r>
        <w:rPr/>
        <w:t>«113»</w:t>
      </w:r>
      <w:r>
        <w:rPr>
          <w:spacing w:val="10"/>
        </w:rPr>
        <w:t> </w:t>
      </w:r>
      <w:r>
        <w:rPr/>
        <w:t>(113)</w:t>
      </w:r>
      <w:r>
        <w:rPr>
          <w:spacing w:val="10"/>
        </w:rPr>
        <w:t> </w:t>
      </w:r>
      <w:r>
        <w:rPr/>
        <w:t>2023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scientific</w:t>
      </w:r>
      <w:r>
        <w:rPr>
          <w:spacing w:val="11"/>
        </w:rPr>
        <w:t> </w:t>
      </w:r>
      <w:r>
        <w:rPr>
          <w:spacing w:val="-2"/>
        </w:rPr>
        <w:t>journal</w:t>
      </w:r>
    </w:p>
    <w:p>
      <w:pPr>
        <w:pStyle w:val="BodyText"/>
        <w:spacing w:before="135"/>
        <w:ind w:left="222"/>
      </w:pPr>
      <w:r>
        <w:rPr/>
        <w:t>«The</w:t>
      </w:r>
      <w:r>
        <w:rPr>
          <w:spacing w:val="-6"/>
        </w:rPr>
        <w:t> </w:t>
      </w:r>
      <w:r>
        <w:rPr/>
        <w:t>scientific</w:t>
      </w:r>
      <w:r>
        <w:rPr>
          <w:spacing w:val="-4"/>
        </w:rPr>
        <w:t> </w:t>
      </w:r>
      <w:r>
        <w:rPr/>
        <w:t>heritage»</w:t>
      </w:r>
      <w:r>
        <w:rPr>
          <w:spacing w:val="-1"/>
        </w:rPr>
        <w:t> </w:t>
      </w:r>
      <w:r>
        <w:rPr/>
        <w:t>(ISSN</w:t>
      </w:r>
      <w:r>
        <w:rPr>
          <w:spacing w:val="-2"/>
        </w:rPr>
        <w:t> </w:t>
      </w:r>
      <w:r>
        <w:rPr/>
        <w:t>9215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0365). Journal</w:t>
      </w:r>
      <w:r>
        <w:rPr>
          <w:spacing w:val="-2"/>
        </w:rPr>
        <w:t> </w:t>
      </w:r>
      <w:r>
        <w:rPr/>
        <w:t>release</w:t>
      </w:r>
      <w:r>
        <w:rPr>
          <w:spacing w:val="-4"/>
        </w:rPr>
        <w:t> </w:t>
      </w:r>
      <w:r>
        <w:rPr/>
        <w:t>date: </w:t>
      </w:r>
      <w:r>
        <w:rPr>
          <w:spacing w:val="-2"/>
        </w:rPr>
        <w:t>05/24/2023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222"/>
      </w:pPr>
      <w:r>
        <w:rPr/>
        <w:t>The</w:t>
      </w:r>
      <w:r>
        <w:rPr>
          <w:spacing w:val="-6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place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request.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028" w:val="left" w:leader="none"/>
          <w:tab w:pos="2384" w:val="left" w:leader="none"/>
          <w:tab w:pos="4060" w:val="left" w:leader="none"/>
        </w:tabs>
        <w:spacing w:before="228"/>
        <w:ind w:left="222"/>
      </w:pPr>
      <w:r>
        <w:rPr/>
        <w:t>«</w:t>
      </w:r>
      <w:r>
        <w:rPr>
          <w:spacing w:val="56"/>
          <w:u w:val="single"/>
        </w:rPr>
        <w:t>  </w:t>
      </w:r>
      <w:r>
        <w:rPr>
          <w:spacing w:val="-5"/>
          <w:u w:val="single"/>
        </w:rPr>
        <w:t>11</w:t>
      </w:r>
      <w:r>
        <w:rPr>
          <w:u w:val="single"/>
        </w:rPr>
        <w:tab/>
      </w:r>
      <w:r>
        <w:rPr/>
        <w:t>» </w:t>
      </w:r>
      <w:r>
        <w:rPr>
          <w:u w:val="single"/>
        </w:rPr>
        <w:tab/>
      </w:r>
      <w:r>
        <w:rPr>
          <w:spacing w:val="-5"/>
          <w:u w:val="single"/>
        </w:rPr>
        <w:t>May</w:t>
      </w:r>
      <w:r>
        <w:rPr>
          <w:u w:val="single"/>
        </w:rPr>
        <w:tab/>
      </w:r>
      <w:r>
        <w:rPr>
          <w:spacing w:val="-4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762" w:val="left" w:leader="none"/>
          <w:tab w:pos="6903" w:val="left" w:leader="none"/>
          <w:tab w:pos="7303" w:val="left" w:leader="none"/>
        </w:tabs>
        <w:spacing w:before="228"/>
        <w:ind w:left="22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3646170</wp:posOffset>
            </wp:positionH>
            <wp:positionV relativeFrom="paragraph">
              <wp:posOffset>-344933</wp:posOffset>
            </wp:positionV>
            <wp:extent cx="1498600" cy="85958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8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Publication</w:t>
      </w:r>
      <w:r>
        <w:rPr>
          <w:spacing w:val="-6"/>
        </w:rPr>
        <w:t> </w:t>
      </w:r>
      <w:r>
        <w:rPr>
          <w:spacing w:val="-2"/>
        </w:rPr>
        <w:t>Manager</w:t>
      </w:r>
      <w:r>
        <w:rPr/>
        <w:tab/>
      </w:r>
      <w:r>
        <w:rPr>
          <w:u w:val="single"/>
        </w:rPr>
        <w:tab/>
      </w:r>
      <w:r>
        <w:rPr/>
        <w:tab/>
        <w:t>Bernat</w:t>
      </w:r>
      <w:r>
        <w:rPr>
          <w:spacing w:val="-6"/>
        </w:rPr>
        <w:t> </w:t>
      </w:r>
      <w:r>
        <w:rPr>
          <w:spacing w:val="-2"/>
        </w:rPr>
        <w:t>Khavash</w:t>
      </w:r>
    </w:p>
    <w:sectPr>
      <w:type w:val="continuous"/>
      <w:pgSz w:w="11910" w:h="16840"/>
      <w:pgMar w:top="760" w:bottom="280" w:left="14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76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2" w:right="645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ublic@tsh-journal.com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Sanginov</dc:creator>
  <dcterms:created xsi:type="dcterms:W3CDTF">2023-05-15T05:43:20Z</dcterms:created>
  <dcterms:modified xsi:type="dcterms:W3CDTF">2023-05-15T05:43:20Z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  <property fmtid="{D5CDD505-2E9C-101B-9397-08002B2CF9AE}" pid="5" name="Producer">
    <vt:lpwstr>Microsoft® Word 2019</vt:lpwstr>
  </property>
</Properties>
</file>