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26E" w:rsidRPr="00DB38A9" w:rsidRDefault="00861DBB" w:rsidP="00861DBB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[21 June 2013</w:t>
      </w:r>
      <w:r w:rsidR="00DB38A9" w:rsidRPr="00DB38A9">
        <w:rPr>
          <w:rFonts w:ascii="Arial" w:hAnsi="Arial" w:cs="Arial"/>
          <w:sz w:val="20"/>
          <w:szCs w:val="20"/>
        </w:rPr>
        <w:t>]</w:t>
      </w:r>
    </w:p>
    <w:p w:rsidR="00861DBB" w:rsidRDefault="00861DBB" w:rsidP="00861DBB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DB38A9" w:rsidRDefault="00DB38A9" w:rsidP="00861DBB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DB38A9">
        <w:rPr>
          <w:rFonts w:ascii="Arial" w:hAnsi="Arial" w:cs="Arial"/>
          <w:sz w:val="20"/>
          <w:szCs w:val="20"/>
        </w:rPr>
        <w:t>[Recipient]</w:t>
      </w:r>
    </w:p>
    <w:p w:rsidR="00861DBB" w:rsidRDefault="00861DBB" w:rsidP="00861DBB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DB38A9" w:rsidRDefault="00DB38A9" w:rsidP="00861DBB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Dear Madam</w:t>
      </w:r>
      <w:r w:rsidR="00001445">
        <w:rPr>
          <w:rFonts w:ascii="Arial" w:hAnsi="Arial" w:cs="Arial"/>
          <w:sz w:val="20"/>
          <w:szCs w:val="20"/>
        </w:rPr>
        <w:t>/Sir,</w:t>
      </w:r>
    </w:p>
    <w:p w:rsidR="00DB38A9" w:rsidRPr="00DB38A9" w:rsidRDefault="00445CBF" w:rsidP="00861DBB">
      <w:pPr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CHANGES TO </w:t>
      </w:r>
      <w:r w:rsidR="00DB38A9" w:rsidRPr="00DB38A9">
        <w:rPr>
          <w:rFonts w:ascii="Arial" w:hAnsi="Arial" w:cs="Arial"/>
          <w:b/>
          <w:sz w:val="20"/>
          <w:szCs w:val="20"/>
        </w:rPr>
        <w:t>ABS FINANCIAL BENCHMARKS</w:t>
      </w:r>
      <w:r w:rsidR="00527999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TRANSITION OF</w:t>
      </w:r>
      <w:r w:rsidR="00527999">
        <w:rPr>
          <w:rFonts w:ascii="Arial" w:hAnsi="Arial" w:cs="Arial"/>
          <w:b/>
          <w:sz w:val="20"/>
          <w:szCs w:val="20"/>
        </w:rPr>
        <w:t xml:space="preserve"> OUTSTANDING CONTRACTS REFERENCING THE FX BENCHMARKS</w:t>
      </w:r>
    </w:p>
    <w:p w:rsidR="009D7FE1" w:rsidRPr="009D7FE1" w:rsidRDefault="00DB38A9" w:rsidP="009D7FE1">
      <w:pPr>
        <w:pStyle w:val="Default"/>
        <w:numPr>
          <w:ilvl w:val="0"/>
          <w:numId w:val="1"/>
        </w:numPr>
        <w:spacing w:after="120"/>
        <w:ind w:left="0" w:firstLine="0"/>
        <w:jc w:val="both"/>
        <w:rPr>
          <w:rFonts w:ascii="Arial" w:hAnsi="Arial" w:cs="Arial"/>
          <w:sz w:val="20"/>
          <w:szCs w:val="20"/>
        </w:rPr>
      </w:pPr>
      <w:r w:rsidRPr="00DB38A9">
        <w:rPr>
          <w:rFonts w:ascii="Arial" w:hAnsi="Arial" w:cs="Arial"/>
          <w:sz w:val="20"/>
          <w:szCs w:val="20"/>
        </w:rPr>
        <w:t>As announced by the Association of Banks in Singapore (</w:t>
      </w:r>
      <w:r w:rsidRPr="00DB38A9">
        <w:rPr>
          <w:rFonts w:ascii="Arial" w:hAnsi="Arial" w:cs="Arial"/>
          <w:b/>
          <w:sz w:val="20"/>
          <w:szCs w:val="20"/>
        </w:rPr>
        <w:t>ABS</w:t>
      </w:r>
      <w:r w:rsidRPr="00DB38A9">
        <w:rPr>
          <w:rFonts w:ascii="Arial" w:hAnsi="Arial" w:cs="Arial"/>
          <w:sz w:val="20"/>
          <w:szCs w:val="20"/>
        </w:rPr>
        <w:t>), in consultation with the Singapore Foreign Exchange Market Committee (</w:t>
      </w:r>
      <w:r w:rsidRPr="00DB38A9">
        <w:rPr>
          <w:rFonts w:ascii="Arial" w:hAnsi="Arial" w:cs="Arial"/>
          <w:b/>
          <w:sz w:val="20"/>
          <w:szCs w:val="20"/>
        </w:rPr>
        <w:t>SFEMC</w:t>
      </w:r>
      <w:r w:rsidRPr="00DB38A9">
        <w:rPr>
          <w:rFonts w:ascii="Arial" w:hAnsi="Arial" w:cs="Arial"/>
          <w:sz w:val="20"/>
          <w:szCs w:val="20"/>
        </w:rPr>
        <w:t>) on 14 June 2013</w:t>
      </w:r>
      <w:r>
        <w:rPr>
          <w:rStyle w:val="FootnoteReference"/>
          <w:rFonts w:ascii="Arial" w:hAnsi="Arial" w:cs="Arial"/>
          <w:sz w:val="20"/>
          <w:szCs w:val="20"/>
        </w:rPr>
        <w:footnoteReference w:id="1"/>
      </w:r>
      <w:r w:rsidRPr="00DB38A9">
        <w:rPr>
          <w:rFonts w:ascii="Arial" w:hAnsi="Arial" w:cs="Arial"/>
          <w:sz w:val="20"/>
          <w:szCs w:val="20"/>
        </w:rPr>
        <w:t>, in order to enhance the robustness, transparency and efficiency of the benchmark contribution process in Singapore, the following changes will be made to the ABS financial benchmarks:</w:t>
      </w:r>
    </w:p>
    <w:tbl>
      <w:tblPr>
        <w:tblStyle w:val="TableGrid"/>
        <w:tblW w:w="9540" w:type="dxa"/>
        <w:tblInd w:w="108" w:type="dxa"/>
        <w:tblLook w:val="04A0"/>
      </w:tblPr>
      <w:tblGrid>
        <w:gridCol w:w="1620"/>
        <w:gridCol w:w="3780"/>
        <w:gridCol w:w="2070"/>
        <w:gridCol w:w="2070"/>
      </w:tblGrid>
      <w:tr w:rsidR="009D7FE1" w:rsidTr="00D34D4D">
        <w:tc>
          <w:tcPr>
            <w:tcW w:w="1620" w:type="dxa"/>
            <w:shd w:val="clear" w:color="auto" w:fill="CCFFCC"/>
            <w:vAlign w:val="center"/>
          </w:tcPr>
          <w:p w:rsidR="00D645B6" w:rsidRPr="009D7FE1" w:rsidRDefault="009D7FE1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 xml:space="preserve">FX </w:t>
            </w:r>
            <w:r w:rsidR="00D645B6" w:rsidRPr="009D7FE1">
              <w:rPr>
                <w:rFonts w:ascii="Arial" w:hAnsi="Arial" w:cs="Arial"/>
                <w:sz w:val="18"/>
                <w:szCs w:val="18"/>
              </w:rPr>
              <w:t>Benchmark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D645B6" w:rsidRPr="009D7FE1" w:rsidRDefault="00D645B6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Outcome</w:t>
            </w:r>
          </w:p>
        </w:tc>
        <w:tc>
          <w:tcPr>
            <w:tcW w:w="2070" w:type="dxa"/>
            <w:shd w:val="clear" w:color="auto" w:fill="CCFFCC"/>
            <w:vAlign w:val="center"/>
          </w:tcPr>
          <w:p w:rsidR="00D645B6" w:rsidRPr="009D7FE1" w:rsidRDefault="00D645B6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Last Day of Old Benchmark</w:t>
            </w:r>
            <w:r w:rsidR="009D7FE1" w:rsidRPr="009D7FE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D7FE1">
              <w:rPr>
                <w:rFonts w:ascii="Arial" w:hAnsi="Arial" w:cs="Arial"/>
                <w:sz w:val="18"/>
                <w:szCs w:val="18"/>
              </w:rPr>
              <w:t>Publication</w:t>
            </w:r>
          </w:p>
        </w:tc>
        <w:tc>
          <w:tcPr>
            <w:tcW w:w="2070" w:type="dxa"/>
            <w:shd w:val="clear" w:color="auto" w:fill="CCFFCC"/>
            <w:vAlign w:val="center"/>
          </w:tcPr>
          <w:p w:rsidR="00D645B6" w:rsidRPr="009D7FE1" w:rsidRDefault="00D645B6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First Day of New Benchmark Publication</w:t>
            </w:r>
          </w:p>
        </w:tc>
      </w:tr>
      <w:tr w:rsidR="009D7FE1" w:rsidTr="00D34D4D"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SGD SPOT FX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Transit to Traded Benchmark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  <w:vAlign w:val="center"/>
          </w:tcPr>
          <w:p w:rsidR="001B4967" w:rsidRPr="009D7FE1" w:rsidRDefault="001B4967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5 Aug 2013</w:t>
            </w:r>
          </w:p>
        </w:tc>
        <w:tc>
          <w:tcPr>
            <w:tcW w:w="2070" w:type="dxa"/>
            <w:vMerge w:val="restart"/>
            <w:vAlign w:val="center"/>
          </w:tcPr>
          <w:p w:rsidR="001B4967" w:rsidRPr="009D7FE1" w:rsidRDefault="001B4967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6 Aug 2013</w:t>
            </w:r>
          </w:p>
        </w:tc>
      </w:tr>
      <w:tr w:rsidR="009D7FE1" w:rsidTr="00D34D4D"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THB SPOT FX</w:t>
            </w: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  <w:vAlign w:val="center"/>
          </w:tcPr>
          <w:p w:rsidR="001B4967" w:rsidRPr="009D7FE1" w:rsidRDefault="001B4967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1B4967" w:rsidRPr="009D7FE1" w:rsidRDefault="001B4967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7FE1" w:rsidTr="00D34D4D"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IDR SPOT FX</w:t>
            </w: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  <w:vAlign w:val="center"/>
          </w:tcPr>
          <w:p w:rsidR="001B4967" w:rsidRPr="009D7FE1" w:rsidRDefault="001B4967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1B4967" w:rsidRPr="009D7FE1" w:rsidRDefault="001B4967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7FE1" w:rsidTr="00D34D4D">
        <w:tc>
          <w:tcPr>
            <w:tcW w:w="1620" w:type="dxa"/>
            <w:vAlign w:val="center"/>
          </w:tcPr>
          <w:p w:rsidR="00D645B6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MYR SPOT FX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vAlign w:val="center"/>
          </w:tcPr>
          <w:p w:rsidR="00D645B6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 xml:space="preserve">Transit to </w:t>
            </w:r>
            <w:r w:rsidR="00065BA0">
              <w:rPr>
                <w:rFonts w:ascii="Arial" w:hAnsi="Arial" w:cs="Arial"/>
                <w:sz w:val="18"/>
                <w:szCs w:val="18"/>
              </w:rPr>
              <w:t>Alternative</w:t>
            </w:r>
            <w:r w:rsidRPr="009D7FE1">
              <w:rPr>
                <w:rFonts w:ascii="Arial" w:hAnsi="Arial" w:cs="Arial"/>
                <w:sz w:val="18"/>
                <w:szCs w:val="18"/>
              </w:rPr>
              <w:t xml:space="preserve"> Benchmark: PPKM </w:t>
            </w:r>
          </w:p>
        </w:tc>
        <w:tc>
          <w:tcPr>
            <w:tcW w:w="2070" w:type="dxa"/>
            <w:vAlign w:val="center"/>
          </w:tcPr>
          <w:p w:rsidR="00D645B6" w:rsidRPr="009D7FE1" w:rsidRDefault="001B4967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5 Aug 2013</w:t>
            </w:r>
          </w:p>
        </w:tc>
        <w:tc>
          <w:tcPr>
            <w:tcW w:w="2070" w:type="dxa"/>
            <w:vAlign w:val="center"/>
          </w:tcPr>
          <w:p w:rsidR="00065BA0" w:rsidRDefault="00065BA0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N.A.</w:t>
            </w:r>
          </w:p>
          <w:p w:rsidR="00D645B6" w:rsidRPr="009D7FE1" w:rsidRDefault="009D7FE1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6 Aug 2013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9F71F2" w:rsidRPr="009D7FE1">
              <w:rPr>
                <w:rFonts w:ascii="Arial" w:hAnsi="Arial" w:cs="Arial"/>
                <w:sz w:val="18"/>
                <w:szCs w:val="18"/>
              </w:rPr>
              <w:t>Transit</w:t>
            </w:r>
            <w:r w:rsidRPr="009D7FE1">
              <w:rPr>
                <w:rFonts w:ascii="Arial" w:hAnsi="Arial" w:cs="Arial"/>
                <w:sz w:val="18"/>
                <w:szCs w:val="18"/>
              </w:rPr>
              <w:t xml:space="preserve"> to Alternative Benchmark</w:t>
            </w:r>
          </w:p>
        </w:tc>
      </w:tr>
      <w:tr w:rsidR="009D7FE1" w:rsidTr="00D34D4D"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645B6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VND SPOT FX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:rsidR="00D645B6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Discontinue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:rsidR="00D645B6" w:rsidRPr="009D7FE1" w:rsidRDefault="001B4967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12 Jul 2013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:rsidR="00D645B6" w:rsidRPr="009D7FE1" w:rsidRDefault="009D7FE1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N.A</w:t>
            </w:r>
          </w:p>
        </w:tc>
      </w:tr>
      <w:tr w:rsidR="009D7FE1" w:rsidTr="00D34D4D">
        <w:tc>
          <w:tcPr>
            <w:tcW w:w="954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D7FE1" w:rsidRDefault="009D7FE1" w:rsidP="009D7FE1">
            <w:pPr>
              <w:pStyle w:val="Default"/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7FE1" w:rsidTr="00D34D4D">
        <w:tc>
          <w:tcPr>
            <w:tcW w:w="1620" w:type="dxa"/>
            <w:shd w:val="clear" w:color="auto" w:fill="CCFFCC"/>
            <w:vAlign w:val="center"/>
          </w:tcPr>
          <w:p w:rsidR="009D7FE1" w:rsidRPr="009D7FE1" w:rsidRDefault="00065BA0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Rates</w:t>
            </w:r>
            <w:r w:rsidR="009D7FE1" w:rsidRPr="009D7FE1">
              <w:rPr>
                <w:rFonts w:ascii="Arial" w:hAnsi="Arial" w:cs="Arial"/>
                <w:sz w:val="18"/>
                <w:szCs w:val="18"/>
              </w:rPr>
              <w:t xml:space="preserve"> Benchmark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9D7FE1" w:rsidRPr="009D7FE1" w:rsidRDefault="009D7FE1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Outcome</w:t>
            </w:r>
          </w:p>
        </w:tc>
        <w:tc>
          <w:tcPr>
            <w:tcW w:w="2070" w:type="dxa"/>
            <w:shd w:val="clear" w:color="auto" w:fill="CCFFCC"/>
            <w:vAlign w:val="center"/>
          </w:tcPr>
          <w:p w:rsidR="009D7FE1" w:rsidRPr="009D7FE1" w:rsidRDefault="009D7FE1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Last Day of Old Benchmark Publication</w:t>
            </w:r>
          </w:p>
        </w:tc>
        <w:tc>
          <w:tcPr>
            <w:tcW w:w="2070" w:type="dxa"/>
            <w:shd w:val="clear" w:color="auto" w:fill="CCFFCC"/>
            <w:vAlign w:val="center"/>
          </w:tcPr>
          <w:p w:rsidR="009D7FE1" w:rsidRPr="009D7FE1" w:rsidRDefault="009D7FE1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First Day of New Benchmark Publication</w:t>
            </w:r>
          </w:p>
        </w:tc>
      </w:tr>
      <w:tr w:rsidR="009D7FE1" w:rsidTr="00D34D4D">
        <w:tc>
          <w:tcPr>
            <w:tcW w:w="1620" w:type="dxa"/>
            <w:vAlign w:val="center"/>
          </w:tcPr>
          <w:p w:rsidR="002B5C72" w:rsidRPr="009D7FE1" w:rsidRDefault="002B5C72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SGD IRS</w:t>
            </w:r>
          </w:p>
        </w:tc>
        <w:tc>
          <w:tcPr>
            <w:tcW w:w="3780" w:type="dxa"/>
            <w:vMerge w:val="restart"/>
            <w:vAlign w:val="center"/>
          </w:tcPr>
          <w:p w:rsidR="002B5C72" w:rsidRPr="009D7FE1" w:rsidRDefault="002B5C72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Discontinue: All maturities</w:t>
            </w:r>
          </w:p>
        </w:tc>
        <w:tc>
          <w:tcPr>
            <w:tcW w:w="2070" w:type="dxa"/>
            <w:vMerge w:val="restart"/>
            <w:vAlign w:val="center"/>
          </w:tcPr>
          <w:p w:rsidR="002B5C72" w:rsidRPr="009D7FE1" w:rsidRDefault="002B5C72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12 Jul 2013</w:t>
            </w:r>
          </w:p>
        </w:tc>
        <w:tc>
          <w:tcPr>
            <w:tcW w:w="2070" w:type="dxa"/>
            <w:vMerge w:val="restart"/>
            <w:vAlign w:val="center"/>
          </w:tcPr>
          <w:p w:rsidR="002B5C72" w:rsidRPr="009D7FE1" w:rsidRDefault="009D7FE1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N.A</w:t>
            </w:r>
          </w:p>
        </w:tc>
      </w:tr>
      <w:tr w:rsidR="009D7FE1" w:rsidTr="00D34D4D">
        <w:tc>
          <w:tcPr>
            <w:tcW w:w="1620" w:type="dxa"/>
            <w:vAlign w:val="center"/>
          </w:tcPr>
          <w:p w:rsidR="002B5C72" w:rsidRPr="009D7FE1" w:rsidRDefault="002B5C72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THB SOR</w:t>
            </w:r>
          </w:p>
        </w:tc>
        <w:tc>
          <w:tcPr>
            <w:tcW w:w="3780" w:type="dxa"/>
            <w:vMerge/>
            <w:vAlign w:val="center"/>
          </w:tcPr>
          <w:p w:rsidR="002B5C72" w:rsidRPr="009D7FE1" w:rsidRDefault="002B5C72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2B5C72" w:rsidRPr="009D7FE1" w:rsidRDefault="002B5C72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2B5C72" w:rsidRPr="009D7FE1" w:rsidRDefault="002B5C72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7FE1" w:rsidTr="00D34D4D">
        <w:tc>
          <w:tcPr>
            <w:tcW w:w="1620" w:type="dxa"/>
            <w:vAlign w:val="center"/>
          </w:tcPr>
          <w:p w:rsidR="002B5C72" w:rsidRPr="009D7FE1" w:rsidRDefault="002B5C72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IDR SOR</w:t>
            </w:r>
          </w:p>
        </w:tc>
        <w:tc>
          <w:tcPr>
            <w:tcW w:w="3780" w:type="dxa"/>
            <w:vMerge/>
            <w:vAlign w:val="center"/>
          </w:tcPr>
          <w:p w:rsidR="002B5C72" w:rsidRPr="009D7FE1" w:rsidRDefault="002B5C72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2B5C72" w:rsidRPr="009D7FE1" w:rsidRDefault="002B5C72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Merge/>
            <w:vAlign w:val="center"/>
          </w:tcPr>
          <w:p w:rsidR="002B5C72" w:rsidRPr="009D7FE1" w:rsidRDefault="002B5C72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7FE1" w:rsidTr="00D34D4D">
        <w:tc>
          <w:tcPr>
            <w:tcW w:w="1620" w:type="dxa"/>
            <w:vMerge w:val="restart"/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SGD SOR</w:t>
            </w:r>
          </w:p>
        </w:tc>
        <w:tc>
          <w:tcPr>
            <w:tcW w:w="3780" w:type="dxa"/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Transit to Traded Benchmark: O/N, 1m, 3m, 6m</w:t>
            </w:r>
          </w:p>
        </w:tc>
        <w:tc>
          <w:tcPr>
            <w:tcW w:w="2070" w:type="dxa"/>
            <w:vMerge w:val="restart"/>
            <w:vAlign w:val="center"/>
          </w:tcPr>
          <w:p w:rsidR="001B4967" w:rsidRPr="009D7FE1" w:rsidRDefault="001B4967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30 Sep 2013</w:t>
            </w:r>
          </w:p>
        </w:tc>
        <w:tc>
          <w:tcPr>
            <w:tcW w:w="2070" w:type="dxa"/>
            <w:vAlign w:val="center"/>
          </w:tcPr>
          <w:p w:rsidR="001B4967" w:rsidRPr="009D7FE1" w:rsidRDefault="001B4967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1 Oct 2013</w:t>
            </w:r>
          </w:p>
        </w:tc>
      </w:tr>
      <w:tr w:rsidR="009D7FE1" w:rsidTr="00D34D4D">
        <w:tc>
          <w:tcPr>
            <w:tcW w:w="1620" w:type="dxa"/>
            <w:vMerge/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Discontinue: 1w, 2m, 9m, 12m</w:t>
            </w:r>
          </w:p>
        </w:tc>
        <w:tc>
          <w:tcPr>
            <w:tcW w:w="2070" w:type="dxa"/>
            <w:vMerge/>
            <w:vAlign w:val="center"/>
          </w:tcPr>
          <w:p w:rsidR="001B4967" w:rsidRPr="009D7FE1" w:rsidRDefault="001B4967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:rsidR="001B4967" w:rsidRPr="009D7FE1" w:rsidRDefault="009D7FE1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N.A</w:t>
            </w:r>
          </w:p>
        </w:tc>
      </w:tr>
      <w:tr w:rsidR="009D7FE1" w:rsidTr="00D34D4D">
        <w:tc>
          <w:tcPr>
            <w:tcW w:w="1620" w:type="dxa"/>
            <w:vMerge w:val="restart"/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SGD SIBOR</w:t>
            </w:r>
          </w:p>
        </w:tc>
        <w:tc>
          <w:tcPr>
            <w:tcW w:w="3780" w:type="dxa"/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Improve Governance: 1m, 3m, 6m, 12m</w:t>
            </w:r>
          </w:p>
        </w:tc>
        <w:tc>
          <w:tcPr>
            <w:tcW w:w="2070" w:type="dxa"/>
            <w:vAlign w:val="center"/>
          </w:tcPr>
          <w:p w:rsidR="001B4967" w:rsidRPr="009D7FE1" w:rsidRDefault="009D7FE1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N.A</w:t>
            </w:r>
          </w:p>
        </w:tc>
        <w:tc>
          <w:tcPr>
            <w:tcW w:w="2070" w:type="dxa"/>
            <w:vAlign w:val="center"/>
          </w:tcPr>
          <w:p w:rsidR="001B4967" w:rsidRPr="009D7FE1" w:rsidRDefault="009D7FE1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N.A</w:t>
            </w:r>
          </w:p>
        </w:tc>
      </w:tr>
      <w:tr w:rsidR="009D7FE1" w:rsidTr="00D34D4D">
        <w:tc>
          <w:tcPr>
            <w:tcW w:w="1620" w:type="dxa"/>
            <w:vMerge/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1B4967" w:rsidRPr="009D7FE1" w:rsidRDefault="001B4967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Discontinue: 2m, 9m</w:t>
            </w:r>
          </w:p>
        </w:tc>
        <w:tc>
          <w:tcPr>
            <w:tcW w:w="2070" w:type="dxa"/>
            <w:vAlign w:val="center"/>
          </w:tcPr>
          <w:p w:rsidR="001B4967" w:rsidRPr="009D7FE1" w:rsidRDefault="001B4967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30 Sep 2013</w:t>
            </w:r>
          </w:p>
        </w:tc>
        <w:tc>
          <w:tcPr>
            <w:tcW w:w="2070" w:type="dxa"/>
            <w:vAlign w:val="center"/>
          </w:tcPr>
          <w:p w:rsidR="001B4967" w:rsidRPr="009D7FE1" w:rsidRDefault="009D7FE1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N.A</w:t>
            </w:r>
          </w:p>
        </w:tc>
      </w:tr>
      <w:tr w:rsidR="009D7FE1" w:rsidTr="00D34D4D">
        <w:tc>
          <w:tcPr>
            <w:tcW w:w="1620" w:type="dxa"/>
            <w:vAlign w:val="center"/>
          </w:tcPr>
          <w:p w:rsidR="001B4967" w:rsidRPr="009D7FE1" w:rsidRDefault="002B5C72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USD SIBOR</w:t>
            </w:r>
          </w:p>
        </w:tc>
        <w:tc>
          <w:tcPr>
            <w:tcW w:w="3780" w:type="dxa"/>
            <w:vAlign w:val="center"/>
          </w:tcPr>
          <w:p w:rsidR="001B4967" w:rsidRPr="009D7FE1" w:rsidRDefault="002B5C72" w:rsidP="00D34D4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 xml:space="preserve">Transit to </w:t>
            </w:r>
            <w:r w:rsidR="009D7FE1" w:rsidRPr="009D7FE1">
              <w:rPr>
                <w:rFonts w:ascii="Arial" w:hAnsi="Arial" w:cs="Arial"/>
                <w:sz w:val="18"/>
                <w:szCs w:val="18"/>
              </w:rPr>
              <w:t xml:space="preserve">Alternative Benchmark: </w:t>
            </w:r>
            <w:r w:rsidRPr="009D7FE1">
              <w:rPr>
                <w:rFonts w:ascii="Arial" w:hAnsi="Arial" w:cs="Arial"/>
                <w:sz w:val="18"/>
                <w:szCs w:val="18"/>
              </w:rPr>
              <w:t>USD LIBOR</w:t>
            </w:r>
          </w:p>
        </w:tc>
        <w:tc>
          <w:tcPr>
            <w:tcW w:w="2070" w:type="dxa"/>
            <w:vAlign w:val="center"/>
          </w:tcPr>
          <w:p w:rsidR="001B4967" w:rsidRPr="009D7FE1" w:rsidRDefault="002B5C72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31 Dec 2013</w:t>
            </w:r>
          </w:p>
        </w:tc>
        <w:tc>
          <w:tcPr>
            <w:tcW w:w="2070" w:type="dxa"/>
            <w:vAlign w:val="center"/>
          </w:tcPr>
          <w:p w:rsidR="001B4967" w:rsidRDefault="009D7FE1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7FE1">
              <w:rPr>
                <w:rFonts w:ascii="Arial" w:hAnsi="Arial" w:cs="Arial"/>
                <w:sz w:val="18"/>
                <w:szCs w:val="18"/>
              </w:rPr>
              <w:t>N.A</w:t>
            </w:r>
          </w:p>
          <w:p w:rsidR="00065BA0" w:rsidRPr="009D7FE1" w:rsidRDefault="00065BA0" w:rsidP="00D34D4D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Jan 2014: Transit to Alternative Benchmark</w:t>
            </w:r>
          </w:p>
        </w:tc>
      </w:tr>
    </w:tbl>
    <w:p w:rsidR="00DB38A9" w:rsidRDefault="00DB38A9" w:rsidP="00861DB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37D98" w:rsidRDefault="00527999" w:rsidP="00861DBB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ab/>
      </w:r>
      <w:r w:rsidR="009F71F2">
        <w:rPr>
          <w:rFonts w:ascii="Arial" w:hAnsi="Arial" w:cs="Arial"/>
          <w:sz w:val="20"/>
          <w:szCs w:val="20"/>
        </w:rPr>
        <w:t xml:space="preserve">We may have outstanding transactions with you that are impacted by the proposed changes in the above FX benchmarks.  </w:t>
      </w:r>
      <w:r>
        <w:rPr>
          <w:rFonts w:ascii="Arial" w:hAnsi="Arial" w:cs="Arial"/>
          <w:sz w:val="20"/>
          <w:szCs w:val="20"/>
        </w:rPr>
        <w:t>In order to facilitate a smooth transition to the new benchmarks, the SFEMC has made a number of recommendations</w:t>
      </w:r>
      <w:r w:rsidR="00737D98">
        <w:rPr>
          <w:rFonts w:ascii="Arial" w:hAnsi="Arial" w:cs="Arial"/>
          <w:sz w:val="20"/>
          <w:szCs w:val="20"/>
        </w:rPr>
        <w:t>, including:</w:t>
      </w:r>
    </w:p>
    <w:p w:rsidR="00527999" w:rsidRDefault="00737D98" w:rsidP="00861DBB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 xml:space="preserve">NDF and other relevant </w:t>
      </w:r>
      <w:r w:rsidRPr="00570763">
        <w:rPr>
          <w:rFonts w:ascii="Arial" w:eastAsia="Times New Roman" w:hAnsi="Arial" w:cs="Arial"/>
          <w:sz w:val="20"/>
          <w:szCs w:val="20"/>
        </w:rPr>
        <w:t xml:space="preserve">contracts </w:t>
      </w:r>
      <w:r>
        <w:rPr>
          <w:rFonts w:ascii="Arial" w:eastAsia="Times New Roman" w:hAnsi="Arial" w:cs="Arial"/>
          <w:sz w:val="20"/>
          <w:szCs w:val="20"/>
        </w:rPr>
        <w:t>referencing the SGD, THB or IDR spot rate</w:t>
      </w:r>
      <w:r w:rsidR="00861DBB">
        <w:rPr>
          <w:rFonts w:ascii="Arial" w:eastAsia="Times New Roman" w:hAnsi="Arial" w:cs="Arial"/>
          <w:sz w:val="20"/>
          <w:szCs w:val="20"/>
        </w:rPr>
        <w:t xml:space="preserve"> benchmark</w:t>
      </w:r>
      <w:r>
        <w:rPr>
          <w:rFonts w:ascii="Arial" w:eastAsia="Times New Roman" w:hAnsi="Arial" w:cs="Arial"/>
          <w:sz w:val="20"/>
          <w:szCs w:val="20"/>
        </w:rPr>
        <w:t>s that may be entered into on o</w:t>
      </w:r>
      <w:r w:rsidRPr="00570763">
        <w:rPr>
          <w:rFonts w:ascii="Arial" w:eastAsia="Times New Roman" w:hAnsi="Arial" w:cs="Arial"/>
          <w:sz w:val="20"/>
          <w:szCs w:val="20"/>
        </w:rPr>
        <w:t xml:space="preserve">r after </w:t>
      </w:r>
      <w:r>
        <w:rPr>
          <w:rFonts w:ascii="Arial" w:eastAsia="Times New Roman" w:hAnsi="Arial" w:cs="Arial"/>
          <w:sz w:val="20"/>
          <w:szCs w:val="20"/>
        </w:rPr>
        <w:t>6 August</w:t>
      </w:r>
      <w:r>
        <w:rPr>
          <w:rFonts w:ascii="Arial" w:hAnsi="Arial" w:cs="Arial"/>
          <w:sz w:val="20"/>
          <w:szCs w:val="20"/>
        </w:rPr>
        <w:t xml:space="preserve"> 2013 should apply the corresponding new benchmarks.</w:t>
      </w:r>
    </w:p>
    <w:p w:rsidR="00737D98" w:rsidRDefault="00737D98" w:rsidP="00861DBB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 xml:space="preserve">NDF and other relevant </w:t>
      </w:r>
      <w:r w:rsidRPr="00570763">
        <w:rPr>
          <w:rFonts w:ascii="Arial" w:eastAsia="Times New Roman" w:hAnsi="Arial" w:cs="Arial"/>
          <w:sz w:val="20"/>
          <w:szCs w:val="20"/>
        </w:rPr>
        <w:t xml:space="preserve">contracts </w:t>
      </w:r>
      <w:r>
        <w:rPr>
          <w:rFonts w:ascii="Arial" w:eastAsia="Times New Roman" w:hAnsi="Arial" w:cs="Arial"/>
          <w:sz w:val="20"/>
          <w:szCs w:val="20"/>
        </w:rPr>
        <w:t>referencing the MYR spot rate</w:t>
      </w:r>
      <w:r w:rsidR="002519AC">
        <w:rPr>
          <w:rFonts w:ascii="Arial" w:eastAsia="Times New Roman" w:hAnsi="Arial" w:cs="Arial"/>
          <w:sz w:val="20"/>
          <w:szCs w:val="20"/>
        </w:rPr>
        <w:t xml:space="preserve"> benchmark</w:t>
      </w:r>
      <w:r>
        <w:rPr>
          <w:rFonts w:ascii="Arial" w:eastAsia="Times New Roman" w:hAnsi="Arial" w:cs="Arial"/>
          <w:sz w:val="20"/>
          <w:szCs w:val="20"/>
        </w:rPr>
        <w:t xml:space="preserve"> that may be entered into on o</w:t>
      </w:r>
      <w:r w:rsidRPr="00570763">
        <w:rPr>
          <w:rFonts w:ascii="Arial" w:eastAsia="Times New Roman" w:hAnsi="Arial" w:cs="Arial"/>
          <w:sz w:val="20"/>
          <w:szCs w:val="20"/>
        </w:rPr>
        <w:t xml:space="preserve">r after </w:t>
      </w:r>
      <w:r>
        <w:rPr>
          <w:rFonts w:ascii="Arial" w:eastAsia="Times New Roman" w:hAnsi="Arial" w:cs="Arial"/>
          <w:sz w:val="20"/>
          <w:szCs w:val="20"/>
        </w:rPr>
        <w:t>6 August</w:t>
      </w:r>
      <w:r>
        <w:rPr>
          <w:rFonts w:ascii="Arial" w:hAnsi="Arial" w:cs="Arial"/>
          <w:sz w:val="20"/>
          <w:szCs w:val="20"/>
        </w:rPr>
        <w:t xml:space="preserve"> 2013 should apply the onshore MYR spot rate benchmark published</w:t>
      </w:r>
      <w:r w:rsidR="002519AC">
        <w:rPr>
          <w:rFonts w:ascii="Arial" w:hAnsi="Arial" w:cs="Arial"/>
          <w:sz w:val="20"/>
          <w:szCs w:val="20"/>
        </w:rPr>
        <w:t xml:space="preserve"> o</w:t>
      </w:r>
      <w:r>
        <w:rPr>
          <w:rFonts w:ascii="Arial" w:hAnsi="Arial" w:cs="Arial"/>
          <w:sz w:val="20"/>
          <w:szCs w:val="20"/>
        </w:rPr>
        <w:t>n Reuters Screen MYRFIX2 Page.</w:t>
      </w:r>
    </w:p>
    <w:p w:rsidR="00737D98" w:rsidRDefault="00737D98" w:rsidP="00861DBB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</w:t>
      </w:r>
      <w:r>
        <w:rPr>
          <w:rFonts w:ascii="Arial" w:hAnsi="Arial" w:cs="Arial"/>
          <w:sz w:val="20"/>
          <w:szCs w:val="20"/>
        </w:rPr>
        <w:tab/>
        <w:t xml:space="preserve">Parties should mutually agree to amend </w:t>
      </w:r>
      <w:r>
        <w:rPr>
          <w:rFonts w:ascii="Arial" w:eastAsia="Times New Roman" w:hAnsi="Arial" w:cs="Arial"/>
          <w:sz w:val="20"/>
          <w:szCs w:val="20"/>
        </w:rPr>
        <w:t xml:space="preserve">NDF and other relevant </w:t>
      </w:r>
      <w:r w:rsidRPr="00570763">
        <w:rPr>
          <w:rFonts w:ascii="Arial" w:eastAsia="Times New Roman" w:hAnsi="Arial" w:cs="Arial"/>
          <w:sz w:val="20"/>
          <w:szCs w:val="20"/>
        </w:rPr>
        <w:t xml:space="preserve">contracts </w:t>
      </w:r>
      <w:r>
        <w:rPr>
          <w:rFonts w:ascii="Arial" w:eastAsia="Times New Roman" w:hAnsi="Arial" w:cs="Arial"/>
          <w:sz w:val="20"/>
          <w:szCs w:val="20"/>
        </w:rPr>
        <w:t>referencing the existing SGD, THB, IDR or MYR spot rate benchmarks that remain outstanding on 6 August 2013 to reference (as applicable) the new spot rate benchmarks for</w:t>
      </w:r>
      <w:r w:rsidRPr="00737D98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SGD, THB or IDR </w:t>
      </w:r>
      <w:r w:rsidR="00445CBF">
        <w:rPr>
          <w:rFonts w:ascii="Arial" w:eastAsia="Times New Roman" w:hAnsi="Arial" w:cs="Arial"/>
          <w:sz w:val="20"/>
          <w:szCs w:val="20"/>
        </w:rPr>
        <w:t xml:space="preserve">or </w:t>
      </w:r>
      <w:r>
        <w:rPr>
          <w:rFonts w:ascii="Arial" w:eastAsia="Times New Roman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onshore MYR spot rate benchmark published </w:t>
      </w:r>
      <w:r w:rsidR="002519AC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 Reuters Screen MYRFIX2 Page.</w:t>
      </w:r>
      <w:bookmarkStart w:id="0" w:name="_GoBack"/>
      <w:bookmarkEnd w:id="0"/>
    </w:p>
    <w:p w:rsidR="00737D98" w:rsidRDefault="00737D98" w:rsidP="00861DBB">
      <w:pPr>
        <w:pStyle w:val="Default"/>
        <w:tabs>
          <w:tab w:val="left" w:pos="360"/>
        </w:tabs>
        <w:spacing w:after="120"/>
        <w:jc w:val="both"/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eastAsia="Times New Roman" w:hAnsi="Arial" w:cs="Arial"/>
          <w:color w:val="auto"/>
          <w:sz w:val="20"/>
          <w:szCs w:val="20"/>
        </w:rPr>
        <w:t>To assist parties that wish to make the amendments described in paragraph 2(c), the International Swaps and Derivatives Association, Inc. (“</w:t>
      </w:r>
      <w:r w:rsidRPr="00CE0A9D">
        <w:rPr>
          <w:rFonts w:ascii="Arial" w:eastAsia="Times New Roman" w:hAnsi="Arial" w:cs="Arial"/>
          <w:b/>
          <w:color w:val="auto"/>
          <w:sz w:val="20"/>
          <w:szCs w:val="20"/>
        </w:rPr>
        <w:t>ISDA</w:t>
      </w:r>
      <w:r>
        <w:rPr>
          <w:rFonts w:ascii="Arial" w:eastAsia="Times New Roman" w:hAnsi="Arial" w:cs="Arial"/>
          <w:color w:val="auto"/>
          <w:sz w:val="20"/>
          <w:szCs w:val="20"/>
        </w:rPr>
        <w:t>”) and EMTA, Inc. (“</w:t>
      </w:r>
      <w:r w:rsidRPr="00CE0A9D">
        <w:rPr>
          <w:rFonts w:ascii="Arial" w:eastAsia="Times New Roman" w:hAnsi="Arial" w:cs="Arial"/>
          <w:b/>
          <w:color w:val="auto"/>
          <w:sz w:val="20"/>
          <w:szCs w:val="20"/>
        </w:rPr>
        <w:t>EMTA</w:t>
      </w:r>
      <w:r>
        <w:rPr>
          <w:rFonts w:ascii="Arial" w:eastAsia="Times New Roman" w:hAnsi="Arial" w:cs="Arial"/>
          <w:color w:val="auto"/>
          <w:sz w:val="20"/>
          <w:szCs w:val="20"/>
        </w:rPr>
        <w:t xml:space="preserve">”) will publish a </w:t>
      </w:r>
      <w:r>
        <w:rPr>
          <w:rFonts w:ascii="Arial" w:eastAsia="Times New Roman" w:hAnsi="Arial" w:cs="Arial"/>
          <w:color w:val="auto"/>
          <w:sz w:val="20"/>
          <w:szCs w:val="20"/>
        </w:rPr>
        <w:lastRenderedPageBreak/>
        <w:t>Multilateral Amendment Agreement (</w:t>
      </w:r>
      <w:r w:rsidRPr="0069578A">
        <w:rPr>
          <w:rFonts w:ascii="Arial" w:eastAsia="Times New Roman" w:hAnsi="Arial" w:cs="Arial"/>
          <w:b/>
          <w:color w:val="auto"/>
          <w:sz w:val="20"/>
          <w:szCs w:val="20"/>
        </w:rPr>
        <w:t>FX</w:t>
      </w:r>
      <w:r>
        <w:rPr>
          <w:rFonts w:ascii="Arial" w:eastAsia="Times New Roman" w:hAnsi="Arial" w:cs="Arial"/>
          <w:b/>
          <w:color w:val="auto"/>
          <w:sz w:val="20"/>
          <w:szCs w:val="20"/>
        </w:rPr>
        <w:t>-</w:t>
      </w:r>
      <w:r w:rsidRPr="0069578A">
        <w:rPr>
          <w:rFonts w:ascii="Arial" w:eastAsia="Times New Roman" w:hAnsi="Arial" w:cs="Arial"/>
          <w:b/>
          <w:color w:val="auto"/>
          <w:sz w:val="20"/>
          <w:szCs w:val="20"/>
        </w:rPr>
        <w:t>M</w:t>
      </w:r>
      <w:r>
        <w:rPr>
          <w:rFonts w:ascii="Arial" w:eastAsia="Times New Roman" w:hAnsi="Arial" w:cs="Arial"/>
          <w:b/>
          <w:color w:val="auto"/>
          <w:sz w:val="20"/>
          <w:szCs w:val="20"/>
        </w:rPr>
        <w:t>A</w:t>
      </w:r>
      <w:r w:rsidRPr="0069578A">
        <w:rPr>
          <w:rFonts w:ascii="Arial" w:eastAsia="Times New Roman" w:hAnsi="Arial" w:cs="Arial"/>
          <w:b/>
          <w:color w:val="auto"/>
          <w:sz w:val="20"/>
          <w:szCs w:val="20"/>
        </w:rPr>
        <w:t>A</w:t>
      </w:r>
      <w:r>
        <w:rPr>
          <w:rFonts w:ascii="Arial" w:eastAsia="Times New Roman" w:hAnsi="Arial" w:cs="Arial"/>
          <w:color w:val="auto"/>
          <w:sz w:val="20"/>
          <w:szCs w:val="20"/>
        </w:rPr>
        <w:t xml:space="preserve">). </w:t>
      </w:r>
      <w:r w:rsidR="00DF2925">
        <w:rPr>
          <w:rFonts w:ascii="Arial" w:eastAsia="Times New Roman" w:hAnsi="Arial" w:cs="Arial"/>
          <w:color w:val="auto"/>
          <w:sz w:val="20"/>
          <w:szCs w:val="20"/>
        </w:rPr>
        <w:t xml:space="preserve">The FX-MAA provides an efficient means by which a party can amend its outstanding contracts with more than one other party. Instead of entering into separate bilateral agreements with each other party with whom it has outstanding contracts, a party by executing the FX-MAA will be deemed to have amended its outstanding contracts with each other party that executes the FX-MAA. </w:t>
      </w:r>
      <w:r>
        <w:rPr>
          <w:rFonts w:ascii="Arial" w:eastAsia="Times New Roman" w:hAnsi="Arial" w:cs="Arial"/>
          <w:color w:val="auto"/>
          <w:sz w:val="20"/>
          <w:szCs w:val="20"/>
        </w:rPr>
        <w:t xml:space="preserve">It is intended that the FX-MAA will be published and open for adherence on 5 July 2013 and that the adherence period will close on 2 August 2013. </w:t>
      </w:r>
    </w:p>
    <w:p w:rsidR="00575C06" w:rsidRDefault="00575C06" w:rsidP="00575C06">
      <w:pPr>
        <w:pStyle w:val="Default"/>
        <w:tabs>
          <w:tab w:val="left" w:pos="720"/>
        </w:tabs>
        <w:spacing w:after="120"/>
        <w:jc w:val="both"/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>4.</w:t>
      </w:r>
      <w:r>
        <w:rPr>
          <w:rFonts w:ascii="Arial" w:eastAsia="Times New Roman" w:hAnsi="Arial" w:cs="Arial"/>
          <w:color w:val="auto"/>
          <w:sz w:val="20"/>
          <w:szCs w:val="20"/>
        </w:rPr>
        <w:tab/>
        <w:t xml:space="preserve">We will contact you again once the FX-MAA has been published by ISDA and EMTA. </w:t>
      </w:r>
      <w:r w:rsidR="00B62694">
        <w:rPr>
          <w:rFonts w:ascii="Arial" w:eastAsia="Times New Roman" w:hAnsi="Arial" w:cs="Arial"/>
          <w:color w:val="auto"/>
          <w:sz w:val="20"/>
          <w:szCs w:val="20"/>
        </w:rPr>
        <w:t xml:space="preserve">A timeline of expected publication of various industry documents is set out in Appendix 1.  </w:t>
      </w:r>
      <w:r>
        <w:rPr>
          <w:rFonts w:ascii="Arial" w:eastAsia="Times New Roman" w:hAnsi="Arial" w:cs="Arial"/>
          <w:color w:val="auto"/>
          <w:sz w:val="20"/>
          <w:szCs w:val="20"/>
        </w:rPr>
        <w:t xml:space="preserve">In the meantime, if you have any questions, please </w:t>
      </w:r>
      <w:r w:rsidR="00001445">
        <w:rPr>
          <w:rFonts w:ascii="Arial" w:eastAsia="Times New Roman" w:hAnsi="Arial" w:cs="Arial"/>
          <w:color w:val="auto"/>
          <w:sz w:val="20"/>
          <w:szCs w:val="20"/>
        </w:rPr>
        <w:t>refer to the FAQ at</w:t>
      </w:r>
      <w:r w:rsidR="009C3EAD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hyperlink r:id="rId8" w:history="1">
        <w:r w:rsidR="009C3EAD" w:rsidRPr="00C904F2">
          <w:rPr>
            <w:rStyle w:val="Hyperlink"/>
            <w:rFonts w:ascii="Arial" w:eastAsia="Times New Roman" w:hAnsi="Arial" w:cs="Arial"/>
            <w:sz w:val="20"/>
            <w:szCs w:val="20"/>
          </w:rPr>
          <w:t>http://www.abs.org.sg/financial_faq_benchmarks.php</w:t>
        </w:r>
      </w:hyperlink>
      <w:r w:rsidR="009C3EAD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001445" w:rsidRPr="00001445">
        <w:rPr>
          <w:rFonts w:ascii="Arial" w:eastAsia="Times New Roman" w:hAnsi="Arial" w:cs="Arial"/>
          <w:color w:val="auto"/>
          <w:sz w:val="20"/>
          <w:szCs w:val="20"/>
        </w:rPr>
        <w:t xml:space="preserve">or </w:t>
      </w:r>
      <w:r w:rsidRPr="00001445">
        <w:rPr>
          <w:rFonts w:ascii="Arial" w:eastAsia="Times New Roman" w:hAnsi="Arial" w:cs="Arial"/>
          <w:color w:val="auto"/>
          <w:sz w:val="20"/>
          <w:szCs w:val="20"/>
        </w:rPr>
        <w:t>contact [ ].</w:t>
      </w:r>
    </w:p>
    <w:p w:rsidR="00065BA0" w:rsidRPr="00001445" w:rsidRDefault="00065BA0" w:rsidP="00575C06">
      <w:pPr>
        <w:pStyle w:val="Default"/>
        <w:tabs>
          <w:tab w:val="left" w:pos="720"/>
        </w:tabs>
        <w:spacing w:after="120"/>
        <w:jc w:val="both"/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>5.</w:t>
      </w:r>
      <w:r>
        <w:rPr>
          <w:rFonts w:ascii="Arial" w:eastAsia="Times New Roman" w:hAnsi="Arial" w:cs="Arial"/>
          <w:color w:val="auto"/>
          <w:sz w:val="20"/>
          <w:szCs w:val="20"/>
        </w:rPr>
        <w:tab/>
      </w:r>
      <w:r w:rsidR="009C3EAD">
        <w:rPr>
          <w:rFonts w:ascii="Arial" w:eastAsia="Times New Roman" w:hAnsi="Arial" w:cs="Arial"/>
          <w:color w:val="auto"/>
          <w:sz w:val="20"/>
          <w:szCs w:val="20"/>
        </w:rPr>
        <w:t xml:space="preserve">We will be writing to you separately with further information if we have outstanding transactions with you that may be impacted by </w:t>
      </w:r>
      <w:r>
        <w:rPr>
          <w:rFonts w:ascii="Arial" w:eastAsia="Times New Roman" w:hAnsi="Arial" w:cs="Arial"/>
          <w:color w:val="auto"/>
          <w:sz w:val="20"/>
          <w:szCs w:val="20"/>
        </w:rPr>
        <w:t>the proposed changes in the above rates benchmarks</w:t>
      </w:r>
      <w:r w:rsidR="009C3EAD">
        <w:rPr>
          <w:rFonts w:ascii="Arial" w:eastAsia="Times New Roman" w:hAnsi="Arial" w:cs="Arial"/>
          <w:color w:val="auto"/>
          <w:sz w:val="20"/>
          <w:szCs w:val="20"/>
        </w:rPr>
        <w:t>.</w:t>
      </w:r>
      <w:r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</w:p>
    <w:p w:rsidR="00737D98" w:rsidRDefault="00861DBB" w:rsidP="00861DBB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Yours faithfully</w:t>
      </w:r>
    </w:p>
    <w:p w:rsidR="00AB2F84" w:rsidRDefault="00AB2F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B2F84" w:rsidRPr="00AB2F84" w:rsidRDefault="00AB2F84" w:rsidP="00AB2F8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</w:p>
    <w:p w:rsidR="00AB2F84" w:rsidRPr="00DB38A9" w:rsidRDefault="00BC41D1" w:rsidP="00AB2F84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BC41D1">
        <w:rPr>
          <w:rFonts w:ascii="Helvetica" w:hAnsi="Helvetica" w:cs="Helvetica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61.95pt;margin-top:58.7pt;width:510.75pt;height:802.25pt;z-index:251660288;visibility:visible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FmItQIAALs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" o:allowincell="f" filled="f" stroked="f">
            <v:textbox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/>
                  </w:tblPr>
                  <w:tblGrid>
                    <w:gridCol w:w="637"/>
                    <w:gridCol w:w="4871"/>
                    <w:gridCol w:w="3852"/>
                  </w:tblGrid>
                  <w:tr w:rsidR="00001445" w:rsidTr="00AB2F84">
                    <w:trPr>
                      <w:trHeight w:val="203"/>
                    </w:trPr>
                    <w:tc>
                      <w:tcPr>
                        <w:tcW w:w="9360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:rsidR="00001445" w:rsidRPr="00441785" w:rsidRDefault="00001445" w:rsidP="00B62694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APPENDIX I</w:t>
                        </w:r>
                      </w:p>
                    </w:tc>
                  </w:tr>
                  <w:tr w:rsidR="00001445" w:rsidTr="00D34D4D">
                    <w:trPr>
                      <w:trHeight w:val="120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01445" w:rsidRDefault="00001445">
                        <w:pPr>
                          <w:pStyle w:val="Default"/>
                          <w:rPr>
                            <w:color w:val="auto"/>
                          </w:rPr>
                        </w:pP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753EFC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Description of document </w:t>
                        </w:r>
                      </w:p>
                    </w:tc>
                    <w:tc>
                      <w:tcPr>
                        <w:tcW w:w="385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Proposed publication date </w:t>
                        </w:r>
                      </w:p>
                    </w:tc>
                  </w:tr>
                  <w:tr w:rsidR="00001445" w:rsidTr="00D34D4D">
                    <w:trPr>
                      <w:trHeight w:val="120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SFEMC Explanatory Note </w:t>
                        </w:r>
                      </w:p>
                    </w:tc>
                    <w:tc>
                      <w:tcPr>
                        <w:tcW w:w="385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5 July 2013 </w:t>
                        </w:r>
                      </w:p>
                    </w:tc>
                  </w:tr>
                  <w:tr w:rsidR="00001445" w:rsidTr="00D34D4D">
                    <w:trPr>
                      <w:trHeight w:val="465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FX-M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ultilateral Amendment Agreement (FX-M</w:t>
                        </w: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AA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385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5 July 2013 (with effective date of 6 August 2013). Open for adherence from 5 July 2013 to 2 August 2013 </w:t>
                        </w:r>
                      </w:p>
                    </w:tc>
                  </w:tr>
                  <w:tr w:rsidR="00001445" w:rsidTr="00D34D4D">
                    <w:trPr>
                      <w:trHeight w:val="120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3.</w:t>
                        </w: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Bilateral form of FX-MAA </w:t>
                        </w:r>
                      </w:p>
                    </w:tc>
                    <w:tc>
                      <w:tcPr>
                        <w:tcW w:w="385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5 July 2013 </w:t>
                        </w:r>
                      </w:p>
                    </w:tc>
                  </w:tr>
                  <w:tr w:rsidR="00001445" w:rsidTr="00D34D4D">
                    <w:trPr>
                      <w:trHeight w:val="465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4.</w:t>
                        </w: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Amendments to ISDA/EMTA/FXC Annex A to 1998 FX and Currency Option Definitions </w:t>
                        </w:r>
                      </w:p>
                    </w:tc>
                    <w:tc>
                      <w:tcPr>
                        <w:tcW w:w="385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5 July 2013 (except for the USD/MYR spot rate benchmark definition, with effective date of 6 August 2013) </w:t>
                        </w:r>
                      </w:p>
                    </w:tc>
                  </w:tr>
                  <w:tr w:rsidR="00001445" w:rsidTr="00D34D4D">
                    <w:trPr>
                      <w:trHeight w:val="120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5.</w:t>
                        </w: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EMTA Market Practice Statement </w:t>
                        </w:r>
                      </w:p>
                    </w:tc>
                    <w:tc>
                      <w:tcPr>
                        <w:tcW w:w="3852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5 July 2013 (with effective date of 6 August 2013) </w:t>
                        </w:r>
                      </w:p>
                    </w:tc>
                  </w:tr>
                  <w:tr w:rsidR="00001445" w:rsidTr="00D34D4D">
                    <w:trPr>
                      <w:trHeight w:val="235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6.</w:t>
                        </w: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Revised SFEMC/EMTA/FXC Template Terms for MYR/USD NDF </w:t>
                        </w:r>
                      </w:p>
                    </w:tc>
                    <w:tc>
                      <w:tcPr>
                        <w:tcW w:w="3852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color w:val="auto"/>
                          </w:rPr>
                        </w:pPr>
                      </w:p>
                    </w:tc>
                  </w:tr>
                  <w:tr w:rsidR="00001445" w:rsidTr="00D34D4D">
                    <w:trPr>
                      <w:trHeight w:val="235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7.</w:t>
                        </w: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Revised SFEMC/EMTA/FXC Template Terms for IDR/USD NDF </w:t>
                        </w:r>
                      </w:p>
                    </w:tc>
                    <w:tc>
                      <w:tcPr>
                        <w:tcW w:w="3852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color w:val="auto"/>
                          </w:rPr>
                        </w:pPr>
                      </w:p>
                    </w:tc>
                  </w:tr>
                  <w:tr w:rsidR="00001445" w:rsidTr="00D34D4D">
                    <w:trPr>
                      <w:trHeight w:val="120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8.</w:t>
                        </w: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Revised EMTA Template Terms for MYR/USD NDO </w:t>
                        </w:r>
                      </w:p>
                    </w:tc>
                    <w:tc>
                      <w:tcPr>
                        <w:tcW w:w="3852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color w:val="auto"/>
                          </w:rPr>
                        </w:pPr>
                      </w:p>
                    </w:tc>
                  </w:tr>
                  <w:tr w:rsidR="00001445" w:rsidTr="00D34D4D">
                    <w:trPr>
                      <w:trHeight w:val="120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9.</w:t>
                        </w: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Revised EMTA Template Terms for IDR/USD NDO </w:t>
                        </w:r>
                      </w:p>
                    </w:tc>
                    <w:tc>
                      <w:tcPr>
                        <w:tcW w:w="3852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color w:val="auto"/>
                          </w:rPr>
                        </w:pPr>
                      </w:p>
                    </w:tc>
                  </w:tr>
                  <w:tr w:rsidR="00001445" w:rsidTr="00D34D4D">
                    <w:trPr>
                      <w:trHeight w:val="120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10.</w:t>
                        </w: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Revised ISDA NDS template </w:t>
                        </w:r>
                      </w:p>
                    </w:tc>
                    <w:tc>
                      <w:tcPr>
                        <w:tcW w:w="3852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color w:val="auto"/>
                          </w:rPr>
                        </w:pPr>
                      </w:p>
                    </w:tc>
                  </w:tr>
                  <w:tr w:rsidR="00001445" w:rsidTr="00D34D4D">
                    <w:trPr>
                      <w:trHeight w:val="235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852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1445" w:rsidTr="00D34D4D">
                    <w:trPr>
                      <w:trHeight w:val="465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11.</w:t>
                        </w: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Rates- M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ultilateral Amendment Agreement (</w:t>
                        </w:r>
                        <w:r w:rsidR="00065BA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Rates-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</w:t>
                        </w: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AA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)</w:t>
                        </w: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85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29 August 2013 (with effective date of 1 October 2013). Open for adherence from 29 August 2013 to 26 September 2013 </w:t>
                        </w:r>
                      </w:p>
                    </w:tc>
                  </w:tr>
                  <w:tr w:rsidR="00001445" w:rsidTr="00D34D4D">
                    <w:trPr>
                      <w:trHeight w:val="120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12.</w:t>
                        </w: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Bilateral form of Rates-MAA </w:t>
                        </w:r>
                      </w:p>
                    </w:tc>
                    <w:tc>
                      <w:tcPr>
                        <w:tcW w:w="385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29 August 2013 </w:t>
                        </w:r>
                      </w:p>
                    </w:tc>
                  </w:tr>
                  <w:tr w:rsidR="00001445" w:rsidTr="00D34D4D">
                    <w:trPr>
                      <w:trHeight w:val="235"/>
                    </w:trPr>
                    <w:tc>
                      <w:tcPr>
                        <w:tcW w:w="63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13.</w:t>
                        </w:r>
                      </w:p>
                    </w:tc>
                    <w:tc>
                      <w:tcPr>
                        <w:tcW w:w="48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Amendments to 2006 ISDA Definitions </w:t>
                        </w:r>
                      </w:p>
                    </w:tc>
                    <w:tc>
                      <w:tcPr>
                        <w:tcW w:w="385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1445" w:rsidRPr="00441785" w:rsidRDefault="00001445" w:rsidP="00D34D4D">
                        <w:pPr>
                          <w:pStyle w:val="Defaul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7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29 August 2013 (with effective date of 1 October 2013) </w:t>
                        </w:r>
                      </w:p>
                    </w:tc>
                  </w:tr>
                  <w:tr w:rsidR="00001445" w:rsidTr="00D34D4D">
                    <w:trPr>
                      <w:trHeight w:val="2443"/>
                    </w:trPr>
                    <w:tc>
                      <w:tcPr>
                        <w:tcW w:w="9360" w:type="dxa"/>
                        <w:gridSpan w:val="3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001445" w:rsidRDefault="00001445" w:rsidP="00D34D4D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:rsidR="00001445" w:rsidRDefault="00001445"/>
              </w:txbxContent>
            </v:textbox>
            <w10:wrap type="through" anchorx="page" anchory="page"/>
          </v:shape>
        </w:pict>
      </w:r>
    </w:p>
    <w:sectPr w:rsidR="00AB2F84" w:rsidRPr="00DB38A9" w:rsidSect="00F30D8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CD7" w:rsidRDefault="003E6CD7" w:rsidP="00DB38A9">
      <w:pPr>
        <w:spacing w:after="0" w:line="240" w:lineRule="auto"/>
      </w:pPr>
      <w:r>
        <w:separator/>
      </w:r>
    </w:p>
  </w:endnote>
  <w:endnote w:type="continuationSeparator" w:id="0">
    <w:p w:rsidR="003E6CD7" w:rsidRDefault="003E6CD7" w:rsidP="00DB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  <w:szCs w:val="20"/>
      </w:rPr>
      <w:id w:val="-1245873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445" w:rsidRPr="00D34D4D" w:rsidRDefault="00BC41D1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D34D4D">
          <w:rPr>
            <w:rFonts w:ascii="Arial" w:hAnsi="Arial" w:cs="Arial"/>
            <w:sz w:val="20"/>
            <w:szCs w:val="20"/>
          </w:rPr>
          <w:fldChar w:fldCharType="begin"/>
        </w:r>
        <w:r w:rsidR="00AD5B71" w:rsidRPr="00D34D4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D34D4D">
          <w:rPr>
            <w:rFonts w:ascii="Arial" w:hAnsi="Arial" w:cs="Arial"/>
            <w:sz w:val="20"/>
            <w:szCs w:val="20"/>
          </w:rPr>
          <w:fldChar w:fldCharType="separate"/>
        </w:r>
        <w:r w:rsidR="00DE5F08">
          <w:rPr>
            <w:rFonts w:ascii="Arial" w:hAnsi="Arial" w:cs="Arial"/>
            <w:noProof/>
            <w:sz w:val="20"/>
            <w:szCs w:val="20"/>
          </w:rPr>
          <w:t>1</w:t>
        </w:r>
        <w:r w:rsidRPr="00D34D4D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001445" w:rsidRDefault="000014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CD7" w:rsidRDefault="003E6CD7" w:rsidP="00DB38A9">
      <w:pPr>
        <w:spacing w:after="0" w:line="240" w:lineRule="auto"/>
      </w:pPr>
      <w:r>
        <w:separator/>
      </w:r>
    </w:p>
  </w:footnote>
  <w:footnote w:type="continuationSeparator" w:id="0">
    <w:p w:rsidR="003E6CD7" w:rsidRDefault="003E6CD7" w:rsidP="00DB38A9">
      <w:pPr>
        <w:spacing w:after="0" w:line="240" w:lineRule="auto"/>
      </w:pPr>
      <w:r>
        <w:continuationSeparator/>
      </w:r>
    </w:p>
  </w:footnote>
  <w:footnote w:id="1">
    <w:p w:rsidR="00001445" w:rsidRPr="00527999" w:rsidRDefault="00001445" w:rsidP="00AB2F84">
      <w:pPr>
        <w:pStyle w:val="FootnoteText"/>
        <w:rPr>
          <w:rFonts w:ascii="Arial" w:hAnsi="Arial" w:cs="Arial"/>
        </w:rPr>
      </w:pPr>
      <w:r w:rsidRPr="00527999">
        <w:rPr>
          <w:rStyle w:val="FootnoteReference"/>
          <w:rFonts w:ascii="Arial" w:hAnsi="Arial" w:cs="Arial"/>
        </w:rPr>
        <w:footnoteRef/>
      </w:r>
      <w:r w:rsidRPr="00527999">
        <w:rPr>
          <w:rFonts w:ascii="Arial" w:hAnsi="Arial" w:cs="Arial"/>
        </w:rPr>
        <w:t xml:space="preserve"> Please click for </w:t>
      </w:r>
      <w:hyperlink r:id="rId1" w:history="1">
        <w:r w:rsidRPr="002B6E2E">
          <w:rPr>
            <w:rStyle w:val="Hyperlink"/>
            <w:rFonts w:ascii="Arial" w:hAnsi="Arial" w:cs="Arial"/>
          </w:rPr>
          <w:t>ABS press release</w:t>
        </w:r>
      </w:hyperlink>
      <w:r w:rsidRPr="00527999">
        <w:rPr>
          <w:rFonts w:ascii="Arial" w:hAnsi="Arial" w:cs="Arial"/>
        </w:rPr>
        <w:t xml:space="preserve">, </w:t>
      </w:r>
      <w:hyperlink r:id="rId2" w:history="1">
        <w:r w:rsidRPr="002B6E2E">
          <w:rPr>
            <w:rStyle w:val="Hyperlink"/>
            <w:rFonts w:ascii="Arial" w:hAnsi="Arial" w:cs="Arial"/>
          </w:rPr>
          <w:t>SFEMC statement</w:t>
        </w:r>
      </w:hyperlink>
      <w:r w:rsidRPr="00527999">
        <w:rPr>
          <w:rFonts w:ascii="Arial" w:hAnsi="Arial" w:cs="Arial"/>
        </w:rPr>
        <w:t xml:space="preserve"> and </w:t>
      </w:r>
      <w:hyperlink r:id="rId3" w:history="1">
        <w:r w:rsidRPr="002B6E2E">
          <w:rPr>
            <w:rStyle w:val="Hyperlink"/>
            <w:rFonts w:ascii="Arial" w:hAnsi="Arial" w:cs="Arial"/>
          </w:rPr>
          <w:t>related materials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445" w:rsidRPr="00001445" w:rsidRDefault="00001445" w:rsidP="00DB38A9">
    <w:pPr>
      <w:pStyle w:val="Header"/>
      <w:jc w:val="center"/>
      <w:rPr>
        <w:rFonts w:ascii="Arial" w:hAnsi="Arial" w:cs="Arial"/>
        <w:sz w:val="18"/>
        <w:szCs w:val="18"/>
      </w:rPr>
    </w:pPr>
    <w:r w:rsidRPr="00001445">
      <w:rPr>
        <w:rFonts w:ascii="Arial" w:hAnsi="Arial" w:cs="Arial"/>
        <w:sz w:val="18"/>
        <w:szCs w:val="18"/>
      </w:rPr>
      <w:t>[</w:t>
    </w:r>
    <w:r w:rsidR="00615652">
      <w:rPr>
        <w:rFonts w:ascii="Arial" w:hAnsi="Arial" w:cs="Arial"/>
        <w:sz w:val="18"/>
        <w:szCs w:val="18"/>
      </w:rPr>
      <w:t xml:space="preserve">SUGGESTED </w:t>
    </w:r>
    <w:r w:rsidR="00615652">
      <w:rPr>
        <w:rFonts w:ascii="Arial" w:hAnsi="Arial" w:cs="Arial"/>
        <w:sz w:val="18"/>
        <w:szCs w:val="18"/>
      </w:rPr>
      <w:t>FORM OF</w:t>
    </w:r>
    <w:r w:rsidRPr="00001445">
      <w:rPr>
        <w:rFonts w:ascii="Arial" w:hAnsi="Arial" w:cs="Arial"/>
        <w:sz w:val="18"/>
        <w:szCs w:val="18"/>
      </w:rPr>
      <w:t xml:space="preserve"> LETTER TO WHOLESALE CUSTOMERS ON FX</w:t>
    </w:r>
    <w:r w:rsidR="00D17EE1">
      <w:rPr>
        <w:rFonts w:ascii="Arial" w:hAnsi="Arial" w:cs="Arial"/>
        <w:sz w:val="18"/>
        <w:szCs w:val="18"/>
      </w:rPr>
      <w:t xml:space="preserve"> BENCHMARK</w:t>
    </w:r>
    <w:r w:rsidRPr="00001445">
      <w:rPr>
        <w:rFonts w:ascii="Arial" w:hAnsi="Arial" w:cs="Arial"/>
        <w:sz w:val="18"/>
        <w:szCs w:val="18"/>
      </w:rPr>
      <w:t xml:space="preserve"> CHANGES]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319AC"/>
    <w:multiLevelType w:val="hybridMultilevel"/>
    <w:tmpl w:val="13A26E38"/>
    <w:lvl w:ilvl="0" w:tplc="BFEE8D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8CDA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788A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A7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52C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EECF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D0D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2A06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D68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FC6BCC"/>
    <w:multiLevelType w:val="hybridMultilevel"/>
    <w:tmpl w:val="774E5488"/>
    <w:lvl w:ilvl="0" w:tplc="8034E7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383E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EB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846D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1A02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A862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8AC6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4E7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C2E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F25B42"/>
    <w:multiLevelType w:val="hybridMultilevel"/>
    <w:tmpl w:val="5B72A11A"/>
    <w:lvl w:ilvl="0" w:tplc="D5D6F4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CA17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30E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1268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E52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AE6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6B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C8D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402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335727"/>
    <w:multiLevelType w:val="hybridMultilevel"/>
    <w:tmpl w:val="F1B0B672"/>
    <w:lvl w:ilvl="0" w:tplc="812256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B38A9"/>
    <w:rsid w:val="00001445"/>
    <w:rsid w:val="00065BA0"/>
    <w:rsid w:val="00131650"/>
    <w:rsid w:val="001B4967"/>
    <w:rsid w:val="002519AC"/>
    <w:rsid w:val="0026126E"/>
    <w:rsid w:val="002B5C72"/>
    <w:rsid w:val="002B6E2E"/>
    <w:rsid w:val="003E6CD7"/>
    <w:rsid w:val="00441785"/>
    <w:rsid w:val="00445CBF"/>
    <w:rsid w:val="004A63E2"/>
    <w:rsid w:val="004C28CC"/>
    <w:rsid w:val="00527999"/>
    <w:rsid w:val="00575C06"/>
    <w:rsid w:val="005B43B5"/>
    <w:rsid w:val="00615652"/>
    <w:rsid w:val="00737D98"/>
    <w:rsid w:val="00753EFC"/>
    <w:rsid w:val="008421F5"/>
    <w:rsid w:val="00861DBB"/>
    <w:rsid w:val="009C3EAD"/>
    <w:rsid w:val="009D7FE1"/>
    <w:rsid w:val="009F71F2"/>
    <w:rsid w:val="00A45F7F"/>
    <w:rsid w:val="00A7079D"/>
    <w:rsid w:val="00AB2F84"/>
    <w:rsid w:val="00AD5B71"/>
    <w:rsid w:val="00B2408E"/>
    <w:rsid w:val="00B62694"/>
    <w:rsid w:val="00B64BA9"/>
    <w:rsid w:val="00BC41D1"/>
    <w:rsid w:val="00C97E7B"/>
    <w:rsid w:val="00CD33A8"/>
    <w:rsid w:val="00D17EE1"/>
    <w:rsid w:val="00D34D4D"/>
    <w:rsid w:val="00D43873"/>
    <w:rsid w:val="00D645B6"/>
    <w:rsid w:val="00DB38A9"/>
    <w:rsid w:val="00DE5F08"/>
    <w:rsid w:val="00DF2925"/>
    <w:rsid w:val="00E021DF"/>
    <w:rsid w:val="00F30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A9"/>
  </w:style>
  <w:style w:type="paragraph" w:styleId="Footer">
    <w:name w:val="footer"/>
    <w:basedOn w:val="Normal"/>
    <w:link w:val="FooterChar"/>
    <w:uiPriority w:val="99"/>
    <w:unhideWhenUsed/>
    <w:rsid w:val="00DB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A9"/>
  </w:style>
  <w:style w:type="paragraph" w:customStyle="1" w:styleId="Default">
    <w:name w:val="Default"/>
    <w:rsid w:val="00DB38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B3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38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38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38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B3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99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17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785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A9"/>
  </w:style>
  <w:style w:type="paragraph" w:styleId="Footer">
    <w:name w:val="footer"/>
    <w:basedOn w:val="Normal"/>
    <w:link w:val="FooterChar"/>
    <w:uiPriority w:val="99"/>
    <w:unhideWhenUsed/>
    <w:rsid w:val="00DB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A9"/>
  </w:style>
  <w:style w:type="paragraph" w:customStyle="1" w:styleId="Default">
    <w:name w:val="Default"/>
    <w:rsid w:val="00DB38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B3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38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38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38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B3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99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17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785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s.org.sg/financial_faq_benchmarks.php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bs.org.sg/financial_faq_benchmarks.php" TargetMode="External"/><Relationship Id="rId2" Type="http://schemas.openxmlformats.org/officeDocument/2006/relationships/hyperlink" Target="http://www.sfemc.org/pdf/SFEMC_Statement_on_ABS_Financial_Benchmarks.pdf" TargetMode="External"/><Relationship Id="rId1" Type="http://schemas.openxmlformats.org/officeDocument/2006/relationships/hyperlink" Target="http://www.abs.org.sg/pdfs/Newsroom/PressReleases/2013/ABS_SFEMC_Press_Release_201306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52F3F-2211-40D6-BA21-84930389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549</Words>
  <Characters>3132</Characters>
  <Application>Microsoft Office Word</Application>
  <DocSecurity>0</DocSecurity>
  <PresentationFormat/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FX Pre Pub Letter Final (00234653).DOCX</vt:lpstr>
    </vt:vector>
  </TitlesOfParts>
  <Company>ISDA</Company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FX Pre Pub Letter Final (00234653).DOCX</dc:title>
  <dc:creator>Windows User</dc:creator>
  <cp:lastModifiedBy>mas_zyang</cp:lastModifiedBy>
  <cp:revision>3</cp:revision>
  <dcterms:created xsi:type="dcterms:W3CDTF">2013-06-21T06:52:00Z</dcterms:created>
  <dcterms:modified xsi:type="dcterms:W3CDTF">2013-06-21T07:05:00Z</dcterms:modified>
</cp:coreProperties>
</file>