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BB" w:rsidRPr="0089794E" w:rsidRDefault="0019201B" w:rsidP="0089794E">
      <w:pPr>
        <w:spacing w:after="0" w:line="240" w:lineRule="auto"/>
        <w:rPr>
          <w:rFonts w:ascii="Arial" w:hAnsi="Arial" w:cs="Arial"/>
          <w:sz w:val="20"/>
          <w:szCs w:val="20"/>
        </w:rPr>
      </w:pPr>
      <w:bookmarkStart w:id="0" w:name="_GoBack"/>
      <w:bookmarkEnd w:id="0"/>
      <w:r w:rsidRPr="0089794E">
        <w:rPr>
          <w:rFonts w:ascii="Arial" w:hAnsi="Arial" w:cs="Arial"/>
          <w:sz w:val="20"/>
          <w:szCs w:val="20"/>
        </w:rPr>
        <w:t>[Date]</w:t>
      </w:r>
    </w:p>
    <w:p w:rsidR="0019201B" w:rsidRDefault="0019201B" w:rsidP="0089794E">
      <w:pPr>
        <w:spacing w:after="0" w:line="240" w:lineRule="auto"/>
        <w:rPr>
          <w:rFonts w:ascii="Arial" w:hAnsi="Arial" w:cs="Arial"/>
          <w:sz w:val="20"/>
          <w:szCs w:val="20"/>
        </w:rPr>
      </w:pPr>
    </w:p>
    <w:p w:rsidR="0089794E" w:rsidRPr="0089794E" w:rsidRDefault="0089794E" w:rsidP="0089794E">
      <w:pPr>
        <w:spacing w:after="0" w:line="240" w:lineRule="auto"/>
        <w:rPr>
          <w:rFonts w:ascii="Arial" w:hAnsi="Arial" w:cs="Arial"/>
          <w:sz w:val="20"/>
          <w:szCs w:val="20"/>
        </w:rPr>
      </w:pPr>
    </w:p>
    <w:p w:rsidR="00DB38A9" w:rsidRPr="0089794E" w:rsidRDefault="00DB38A9" w:rsidP="0089794E">
      <w:pPr>
        <w:tabs>
          <w:tab w:val="left" w:pos="5250"/>
        </w:tabs>
        <w:spacing w:after="0" w:line="240" w:lineRule="auto"/>
        <w:rPr>
          <w:rFonts w:ascii="Arial" w:hAnsi="Arial" w:cs="Arial"/>
          <w:sz w:val="20"/>
          <w:szCs w:val="20"/>
        </w:rPr>
      </w:pPr>
      <w:r w:rsidRPr="0089794E">
        <w:rPr>
          <w:rFonts w:ascii="Arial" w:hAnsi="Arial" w:cs="Arial"/>
          <w:sz w:val="20"/>
          <w:szCs w:val="20"/>
        </w:rPr>
        <w:t>[Recipient]</w:t>
      </w:r>
      <w:r w:rsidR="0019201B" w:rsidRPr="0089794E">
        <w:rPr>
          <w:rFonts w:ascii="Arial" w:hAnsi="Arial" w:cs="Arial"/>
          <w:sz w:val="20"/>
          <w:szCs w:val="20"/>
        </w:rPr>
        <w:tab/>
      </w:r>
    </w:p>
    <w:p w:rsidR="00861DBB" w:rsidRDefault="00861DBB" w:rsidP="0089794E">
      <w:pPr>
        <w:spacing w:after="0" w:line="240" w:lineRule="auto"/>
        <w:rPr>
          <w:rFonts w:ascii="Arial" w:hAnsi="Arial" w:cs="Arial"/>
          <w:sz w:val="20"/>
          <w:szCs w:val="20"/>
        </w:rPr>
      </w:pPr>
    </w:p>
    <w:p w:rsidR="0089794E" w:rsidRPr="0089794E" w:rsidRDefault="0089794E" w:rsidP="0089794E">
      <w:pPr>
        <w:spacing w:after="0" w:line="240" w:lineRule="auto"/>
        <w:rPr>
          <w:rFonts w:ascii="Arial" w:hAnsi="Arial" w:cs="Arial"/>
          <w:sz w:val="20"/>
          <w:szCs w:val="20"/>
        </w:rPr>
      </w:pPr>
    </w:p>
    <w:p w:rsidR="00DB38A9" w:rsidRPr="0089794E" w:rsidRDefault="00DB38A9" w:rsidP="0089794E">
      <w:pPr>
        <w:spacing w:after="0" w:line="240" w:lineRule="auto"/>
        <w:rPr>
          <w:rFonts w:ascii="Arial" w:hAnsi="Arial" w:cs="Arial"/>
          <w:sz w:val="20"/>
          <w:szCs w:val="20"/>
        </w:rPr>
      </w:pPr>
      <w:r w:rsidRPr="0089794E">
        <w:rPr>
          <w:rFonts w:ascii="Arial" w:hAnsi="Arial" w:cs="Arial"/>
          <w:sz w:val="20"/>
          <w:szCs w:val="20"/>
        </w:rPr>
        <w:t>Dear Madam</w:t>
      </w:r>
      <w:r w:rsidR="00001445" w:rsidRPr="0089794E">
        <w:rPr>
          <w:rFonts w:ascii="Arial" w:hAnsi="Arial" w:cs="Arial"/>
          <w:sz w:val="20"/>
          <w:szCs w:val="20"/>
        </w:rPr>
        <w:t>/Sir,</w:t>
      </w:r>
    </w:p>
    <w:p w:rsidR="00B062B4" w:rsidRPr="0089794E" w:rsidRDefault="00B062B4" w:rsidP="0089794E">
      <w:pPr>
        <w:spacing w:after="0" w:line="240" w:lineRule="auto"/>
        <w:jc w:val="both"/>
        <w:rPr>
          <w:rFonts w:ascii="Arial" w:hAnsi="Arial" w:cs="Arial"/>
          <w:b/>
          <w:sz w:val="20"/>
          <w:szCs w:val="20"/>
        </w:rPr>
      </w:pPr>
    </w:p>
    <w:p w:rsidR="00DB38A9" w:rsidRPr="0089794E" w:rsidRDefault="00445CBF" w:rsidP="0089794E">
      <w:pPr>
        <w:spacing w:after="0" w:line="240" w:lineRule="auto"/>
        <w:jc w:val="both"/>
        <w:rPr>
          <w:rFonts w:ascii="Arial" w:hAnsi="Arial" w:cs="Arial"/>
          <w:b/>
          <w:sz w:val="20"/>
          <w:szCs w:val="20"/>
        </w:rPr>
      </w:pPr>
      <w:r w:rsidRPr="0089794E">
        <w:rPr>
          <w:rFonts w:ascii="Arial" w:hAnsi="Arial" w:cs="Arial"/>
          <w:b/>
          <w:sz w:val="20"/>
          <w:szCs w:val="20"/>
        </w:rPr>
        <w:t xml:space="preserve">CHANGES TO </w:t>
      </w:r>
      <w:r w:rsidR="00DB38A9" w:rsidRPr="0089794E">
        <w:rPr>
          <w:rFonts w:ascii="Arial" w:hAnsi="Arial" w:cs="Arial"/>
          <w:b/>
          <w:sz w:val="20"/>
          <w:szCs w:val="20"/>
        </w:rPr>
        <w:t>ABS FINANCIAL BENCHMARKS</w:t>
      </w:r>
      <w:r w:rsidR="00527999" w:rsidRPr="0089794E">
        <w:rPr>
          <w:rFonts w:ascii="Arial" w:hAnsi="Arial" w:cs="Arial"/>
          <w:b/>
          <w:sz w:val="20"/>
          <w:szCs w:val="20"/>
        </w:rPr>
        <w:t xml:space="preserve"> – </w:t>
      </w:r>
      <w:r w:rsidRPr="0089794E">
        <w:rPr>
          <w:rFonts w:ascii="Arial" w:hAnsi="Arial" w:cs="Arial"/>
          <w:b/>
          <w:sz w:val="20"/>
          <w:szCs w:val="20"/>
        </w:rPr>
        <w:t>TRANSITION OF</w:t>
      </w:r>
      <w:r w:rsidR="00527999" w:rsidRPr="0089794E">
        <w:rPr>
          <w:rFonts w:ascii="Arial" w:hAnsi="Arial" w:cs="Arial"/>
          <w:b/>
          <w:sz w:val="20"/>
          <w:szCs w:val="20"/>
        </w:rPr>
        <w:t xml:space="preserve"> OUTSTANDING CONTRACTS REFERENCING THE </w:t>
      </w:r>
      <w:r w:rsidR="001616B9" w:rsidRPr="0089794E">
        <w:rPr>
          <w:rFonts w:ascii="Arial" w:hAnsi="Arial" w:cs="Arial"/>
          <w:b/>
          <w:sz w:val="20"/>
          <w:szCs w:val="20"/>
        </w:rPr>
        <w:t>RATE</w:t>
      </w:r>
      <w:r w:rsidR="00527999" w:rsidRPr="0089794E">
        <w:rPr>
          <w:rFonts w:ascii="Arial" w:hAnsi="Arial" w:cs="Arial"/>
          <w:b/>
          <w:sz w:val="20"/>
          <w:szCs w:val="20"/>
        </w:rPr>
        <w:t xml:space="preserve"> BENCHMARKS</w:t>
      </w:r>
    </w:p>
    <w:p w:rsidR="00B062B4" w:rsidRPr="0089794E" w:rsidRDefault="00B062B4" w:rsidP="0089794E">
      <w:pPr>
        <w:spacing w:after="0" w:line="240" w:lineRule="auto"/>
        <w:jc w:val="both"/>
        <w:rPr>
          <w:rFonts w:ascii="Arial" w:hAnsi="Arial" w:cs="Arial"/>
          <w:b/>
          <w:sz w:val="20"/>
          <w:szCs w:val="20"/>
        </w:rPr>
      </w:pPr>
    </w:p>
    <w:p w:rsidR="005622D0" w:rsidRPr="0089794E" w:rsidRDefault="005622D0" w:rsidP="0089794E">
      <w:pPr>
        <w:pStyle w:val="Default"/>
        <w:numPr>
          <w:ilvl w:val="0"/>
          <w:numId w:val="1"/>
        </w:numPr>
        <w:ind w:left="0" w:firstLine="0"/>
        <w:jc w:val="both"/>
        <w:rPr>
          <w:rFonts w:ascii="Arial" w:hAnsi="Arial" w:cs="Arial"/>
          <w:sz w:val="20"/>
          <w:szCs w:val="20"/>
        </w:rPr>
      </w:pPr>
      <w:r w:rsidRPr="0089794E">
        <w:rPr>
          <w:rFonts w:ascii="Arial" w:hAnsi="Arial" w:cs="Arial"/>
          <w:sz w:val="20"/>
          <w:szCs w:val="20"/>
        </w:rPr>
        <w:t>As announced by the Association of Banks in Singapore (</w:t>
      </w:r>
      <w:r w:rsidRPr="0089794E">
        <w:rPr>
          <w:rFonts w:ascii="Arial" w:hAnsi="Arial" w:cs="Arial"/>
          <w:b/>
          <w:sz w:val="20"/>
          <w:szCs w:val="20"/>
        </w:rPr>
        <w:t>ABS</w:t>
      </w:r>
      <w:r w:rsidRPr="0089794E">
        <w:rPr>
          <w:rFonts w:ascii="Arial" w:hAnsi="Arial" w:cs="Arial"/>
          <w:sz w:val="20"/>
          <w:szCs w:val="20"/>
        </w:rPr>
        <w:t>), in consultation with the Singapore Foreign Exchange Market Committee (</w:t>
      </w:r>
      <w:r w:rsidRPr="0089794E">
        <w:rPr>
          <w:rFonts w:ascii="Arial" w:hAnsi="Arial" w:cs="Arial"/>
          <w:b/>
          <w:sz w:val="20"/>
          <w:szCs w:val="20"/>
        </w:rPr>
        <w:t>SFEMC</w:t>
      </w:r>
      <w:r w:rsidRPr="0089794E">
        <w:rPr>
          <w:rFonts w:ascii="Arial" w:hAnsi="Arial" w:cs="Arial"/>
          <w:sz w:val="20"/>
          <w:szCs w:val="20"/>
        </w:rPr>
        <w:t>) on 14 June 2013</w:t>
      </w:r>
      <w:r w:rsidRPr="0089794E">
        <w:rPr>
          <w:rStyle w:val="FootnoteReference"/>
          <w:rFonts w:ascii="Arial" w:hAnsi="Arial" w:cs="Arial"/>
          <w:sz w:val="20"/>
          <w:szCs w:val="20"/>
        </w:rPr>
        <w:footnoteReference w:id="1"/>
      </w:r>
      <w:r w:rsidRPr="0089794E">
        <w:rPr>
          <w:rFonts w:ascii="Arial" w:hAnsi="Arial" w:cs="Arial"/>
          <w:sz w:val="20"/>
          <w:szCs w:val="20"/>
        </w:rPr>
        <w:t xml:space="preserve">, in order to enhance the robustness, transparency and efficiency of the benchmark contribution process in Singapore, </w:t>
      </w:r>
      <w:r w:rsidR="00883C83">
        <w:rPr>
          <w:rFonts w:ascii="Arial" w:hAnsi="Arial" w:cs="Arial"/>
          <w:sz w:val="20"/>
          <w:szCs w:val="20"/>
        </w:rPr>
        <w:t>a number of</w:t>
      </w:r>
      <w:r w:rsidR="001616B9" w:rsidRPr="0089794E">
        <w:rPr>
          <w:rFonts w:ascii="Arial" w:hAnsi="Arial" w:cs="Arial"/>
          <w:sz w:val="20"/>
          <w:szCs w:val="20"/>
        </w:rPr>
        <w:t xml:space="preserve"> changes</w:t>
      </w:r>
      <w:r w:rsidRPr="0089794E">
        <w:rPr>
          <w:rFonts w:ascii="Arial" w:hAnsi="Arial" w:cs="Arial"/>
          <w:sz w:val="20"/>
          <w:szCs w:val="20"/>
        </w:rPr>
        <w:t xml:space="preserve"> will be made to the ABS financial benchmarks</w:t>
      </w:r>
      <w:r w:rsidR="001616B9" w:rsidRPr="0089794E">
        <w:rPr>
          <w:rFonts w:ascii="Arial" w:hAnsi="Arial" w:cs="Arial"/>
          <w:sz w:val="20"/>
          <w:szCs w:val="20"/>
        </w:rPr>
        <w:t>, including the following</w:t>
      </w:r>
      <w:r w:rsidRPr="0089794E">
        <w:rPr>
          <w:rFonts w:ascii="Arial" w:hAnsi="Arial" w:cs="Arial"/>
          <w:sz w:val="20"/>
          <w:szCs w:val="20"/>
        </w:rPr>
        <w:t>:</w:t>
      </w:r>
    </w:p>
    <w:p w:rsidR="00B062B4" w:rsidRPr="0089794E" w:rsidRDefault="00B062B4" w:rsidP="0089794E">
      <w:pPr>
        <w:pStyle w:val="Default"/>
        <w:jc w:val="both"/>
        <w:rPr>
          <w:rFonts w:ascii="Arial" w:hAnsi="Arial" w:cs="Arial"/>
          <w:sz w:val="20"/>
          <w:szCs w:val="20"/>
        </w:rPr>
      </w:pPr>
    </w:p>
    <w:tbl>
      <w:tblPr>
        <w:tblStyle w:val="TableGrid"/>
        <w:tblW w:w="9540" w:type="dxa"/>
        <w:tblInd w:w="108" w:type="dxa"/>
        <w:tblLook w:val="04A0"/>
      </w:tblPr>
      <w:tblGrid>
        <w:gridCol w:w="1620"/>
        <w:gridCol w:w="3780"/>
        <w:gridCol w:w="2070"/>
        <w:gridCol w:w="2070"/>
      </w:tblGrid>
      <w:tr w:rsidR="005622D0" w:rsidRPr="0089794E" w:rsidTr="001930E5">
        <w:tc>
          <w:tcPr>
            <w:tcW w:w="1620" w:type="dxa"/>
            <w:shd w:val="clear" w:color="auto" w:fill="CCFFCC"/>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Rates Benchmark</w:t>
            </w:r>
          </w:p>
        </w:tc>
        <w:tc>
          <w:tcPr>
            <w:tcW w:w="3780" w:type="dxa"/>
            <w:tcBorders>
              <w:bottom w:val="single" w:sz="4" w:space="0" w:color="auto"/>
            </w:tcBorders>
            <w:shd w:val="clear" w:color="auto" w:fill="CCFFCC"/>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Outcome</w:t>
            </w:r>
          </w:p>
        </w:tc>
        <w:tc>
          <w:tcPr>
            <w:tcW w:w="2070" w:type="dxa"/>
            <w:shd w:val="clear" w:color="auto" w:fill="CCFFCC"/>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Last Day of Old Benchmark Publication</w:t>
            </w:r>
          </w:p>
        </w:tc>
        <w:tc>
          <w:tcPr>
            <w:tcW w:w="2070" w:type="dxa"/>
            <w:shd w:val="clear" w:color="auto" w:fill="CCFFCC"/>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First Day of New Benchmark Publication</w:t>
            </w:r>
          </w:p>
        </w:tc>
      </w:tr>
      <w:tr w:rsidR="005622D0" w:rsidRPr="0089794E" w:rsidTr="001930E5">
        <w:tc>
          <w:tcPr>
            <w:tcW w:w="1620" w:type="dxa"/>
            <w:vMerge w:val="restart"/>
            <w:vAlign w:val="center"/>
          </w:tcPr>
          <w:p w:rsidR="005622D0" w:rsidRPr="0089794E" w:rsidRDefault="005622D0" w:rsidP="0089794E">
            <w:pPr>
              <w:pStyle w:val="Default"/>
              <w:rPr>
                <w:rFonts w:ascii="Arial" w:hAnsi="Arial" w:cs="Arial"/>
                <w:sz w:val="20"/>
                <w:szCs w:val="20"/>
              </w:rPr>
            </w:pPr>
            <w:r w:rsidRPr="0089794E">
              <w:rPr>
                <w:rFonts w:ascii="Arial" w:hAnsi="Arial" w:cs="Arial"/>
                <w:sz w:val="20"/>
                <w:szCs w:val="20"/>
              </w:rPr>
              <w:t>SGD SOR</w:t>
            </w:r>
          </w:p>
        </w:tc>
        <w:tc>
          <w:tcPr>
            <w:tcW w:w="3780" w:type="dxa"/>
            <w:vAlign w:val="center"/>
          </w:tcPr>
          <w:p w:rsidR="005622D0" w:rsidRPr="0089794E" w:rsidRDefault="005622D0" w:rsidP="0089794E">
            <w:pPr>
              <w:pStyle w:val="Default"/>
              <w:rPr>
                <w:rFonts w:ascii="Arial" w:hAnsi="Arial" w:cs="Arial"/>
                <w:sz w:val="20"/>
                <w:szCs w:val="20"/>
              </w:rPr>
            </w:pPr>
            <w:r w:rsidRPr="0089794E">
              <w:rPr>
                <w:rFonts w:ascii="Arial" w:hAnsi="Arial" w:cs="Arial"/>
                <w:sz w:val="20"/>
                <w:szCs w:val="20"/>
              </w:rPr>
              <w:t>Transit to Traded Benchmark: O/N, 1m, 3m, 6m</w:t>
            </w:r>
          </w:p>
        </w:tc>
        <w:tc>
          <w:tcPr>
            <w:tcW w:w="2070" w:type="dxa"/>
            <w:vMerge w:val="restart"/>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30 Sep 2013</w:t>
            </w:r>
          </w:p>
        </w:tc>
        <w:tc>
          <w:tcPr>
            <w:tcW w:w="2070" w:type="dxa"/>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1 Oct 2013</w:t>
            </w:r>
          </w:p>
        </w:tc>
      </w:tr>
      <w:tr w:rsidR="005622D0" w:rsidRPr="0089794E" w:rsidTr="001930E5">
        <w:tc>
          <w:tcPr>
            <w:tcW w:w="1620" w:type="dxa"/>
            <w:vMerge/>
            <w:vAlign w:val="center"/>
          </w:tcPr>
          <w:p w:rsidR="005622D0" w:rsidRPr="0089794E" w:rsidRDefault="005622D0" w:rsidP="0089794E">
            <w:pPr>
              <w:pStyle w:val="Default"/>
              <w:rPr>
                <w:rFonts w:ascii="Arial" w:hAnsi="Arial" w:cs="Arial"/>
                <w:sz w:val="20"/>
                <w:szCs w:val="20"/>
              </w:rPr>
            </w:pPr>
          </w:p>
        </w:tc>
        <w:tc>
          <w:tcPr>
            <w:tcW w:w="3780" w:type="dxa"/>
            <w:vAlign w:val="center"/>
          </w:tcPr>
          <w:p w:rsidR="005622D0" w:rsidRPr="0089794E" w:rsidRDefault="005622D0" w:rsidP="0089794E">
            <w:pPr>
              <w:pStyle w:val="Default"/>
              <w:rPr>
                <w:rFonts w:ascii="Arial" w:hAnsi="Arial" w:cs="Arial"/>
                <w:sz w:val="20"/>
                <w:szCs w:val="20"/>
              </w:rPr>
            </w:pPr>
            <w:r w:rsidRPr="0089794E">
              <w:rPr>
                <w:rFonts w:ascii="Arial" w:hAnsi="Arial" w:cs="Arial"/>
                <w:sz w:val="20"/>
                <w:szCs w:val="20"/>
              </w:rPr>
              <w:t>Discontinue: 1w, 2m, 9m, 12m</w:t>
            </w:r>
          </w:p>
        </w:tc>
        <w:tc>
          <w:tcPr>
            <w:tcW w:w="2070" w:type="dxa"/>
            <w:vMerge/>
            <w:vAlign w:val="center"/>
          </w:tcPr>
          <w:p w:rsidR="005622D0" w:rsidRPr="0089794E" w:rsidRDefault="005622D0" w:rsidP="0089794E">
            <w:pPr>
              <w:pStyle w:val="Default"/>
              <w:jc w:val="center"/>
              <w:rPr>
                <w:rFonts w:ascii="Arial" w:hAnsi="Arial" w:cs="Arial"/>
                <w:sz w:val="20"/>
                <w:szCs w:val="20"/>
              </w:rPr>
            </w:pPr>
          </w:p>
        </w:tc>
        <w:tc>
          <w:tcPr>
            <w:tcW w:w="2070" w:type="dxa"/>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N.A</w:t>
            </w:r>
          </w:p>
        </w:tc>
      </w:tr>
      <w:tr w:rsidR="005622D0" w:rsidRPr="0089794E" w:rsidTr="001930E5">
        <w:tc>
          <w:tcPr>
            <w:tcW w:w="1620" w:type="dxa"/>
            <w:vMerge w:val="restart"/>
            <w:vAlign w:val="center"/>
          </w:tcPr>
          <w:p w:rsidR="005622D0" w:rsidRPr="0089794E" w:rsidRDefault="005622D0" w:rsidP="0089794E">
            <w:pPr>
              <w:pStyle w:val="Default"/>
              <w:rPr>
                <w:rFonts w:ascii="Arial" w:hAnsi="Arial" w:cs="Arial"/>
                <w:sz w:val="20"/>
                <w:szCs w:val="20"/>
              </w:rPr>
            </w:pPr>
            <w:r w:rsidRPr="0089794E">
              <w:rPr>
                <w:rFonts w:ascii="Arial" w:hAnsi="Arial" w:cs="Arial"/>
                <w:sz w:val="20"/>
                <w:szCs w:val="20"/>
              </w:rPr>
              <w:t>SGD SIBOR</w:t>
            </w:r>
          </w:p>
        </w:tc>
        <w:tc>
          <w:tcPr>
            <w:tcW w:w="3780" w:type="dxa"/>
            <w:vAlign w:val="center"/>
          </w:tcPr>
          <w:p w:rsidR="005622D0" w:rsidRPr="0089794E" w:rsidRDefault="005622D0" w:rsidP="0089794E">
            <w:pPr>
              <w:pStyle w:val="Default"/>
              <w:rPr>
                <w:rFonts w:ascii="Arial" w:hAnsi="Arial" w:cs="Arial"/>
                <w:sz w:val="20"/>
                <w:szCs w:val="20"/>
              </w:rPr>
            </w:pPr>
            <w:r w:rsidRPr="0089794E">
              <w:rPr>
                <w:rFonts w:ascii="Arial" w:hAnsi="Arial" w:cs="Arial"/>
                <w:sz w:val="20"/>
                <w:szCs w:val="20"/>
              </w:rPr>
              <w:t>Improve Governance: 1m, 3m, 6m, 12m</w:t>
            </w:r>
          </w:p>
        </w:tc>
        <w:tc>
          <w:tcPr>
            <w:tcW w:w="2070" w:type="dxa"/>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N.A</w:t>
            </w:r>
          </w:p>
        </w:tc>
        <w:tc>
          <w:tcPr>
            <w:tcW w:w="2070" w:type="dxa"/>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N.A</w:t>
            </w:r>
          </w:p>
        </w:tc>
      </w:tr>
      <w:tr w:rsidR="005622D0" w:rsidRPr="0089794E" w:rsidTr="001930E5">
        <w:tc>
          <w:tcPr>
            <w:tcW w:w="1620" w:type="dxa"/>
            <w:vMerge/>
            <w:vAlign w:val="center"/>
          </w:tcPr>
          <w:p w:rsidR="005622D0" w:rsidRPr="0089794E" w:rsidRDefault="005622D0" w:rsidP="0089794E">
            <w:pPr>
              <w:pStyle w:val="Default"/>
              <w:rPr>
                <w:rFonts w:ascii="Arial" w:hAnsi="Arial" w:cs="Arial"/>
                <w:sz w:val="20"/>
                <w:szCs w:val="20"/>
              </w:rPr>
            </w:pPr>
          </w:p>
        </w:tc>
        <w:tc>
          <w:tcPr>
            <w:tcW w:w="3780" w:type="dxa"/>
            <w:vAlign w:val="center"/>
          </w:tcPr>
          <w:p w:rsidR="005622D0" w:rsidRPr="0089794E" w:rsidRDefault="005622D0" w:rsidP="0089794E">
            <w:pPr>
              <w:pStyle w:val="Default"/>
              <w:rPr>
                <w:rFonts w:ascii="Arial" w:hAnsi="Arial" w:cs="Arial"/>
                <w:sz w:val="20"/>
                <w:szCs w:val="20"/>
              </w:rPr>
            </w:pPr>
            <w:r w:rsidRPr="0089794E">
              <w:rPr>
                <w:rFonts w:ascii="Arial" w:hAnsi="Arial" w:cs="Arial"/>
                <w:sz w:val="20"/>
                <w:szCs w:val="20"/>
              </w:rPr>
              <w:t>Discontinue: 2m, 9m</w:t>
            </w:r>
          </w:p>
        </w:tc>
        <w:tc>
          <w:tcPr>
            <w:tcW w:w="2070" w:type="dxa"/>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30 Sep 2013</w:t>
            </w:r>
          </w:p>
        </w:tc>
        <w:tc>
          <w:tcPr>
            <w:tcW w:w="2070" w:type="dxa"/>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N.A</w:t>
            </w:r>
          </w:p>
        </w:tc>
      </w:tr>
      <w:tr w:rsidR="005622D0" w:rsidRPr="0089794E" w:rsidTr="001930E5">
        <w:tc>
          <w:tcPr>
            <w:tcW w:w="1620" w:type="dxa"/>
            <w:vAlign w:val="center"/>
          </w:tcPr>
          <w:p w:rsidR="005622D0" w:rsidRPr="0089794E" w:rsidRDefault="005622D0" w:rsidP="0089794E">
            <w:pPr>
              <w:pStyle w:val="Default"/>
              <w:rPr>
                <w:rFonts w:ascii="Arial" w:hAnsi="Arial" w:cs="Arial"/>
                <w:sz w:val="20"/>
                <w:szCs w:val="20"/>
              </w:rPr>
            </w:pPr>
            <w:r w:rsidRPr="0089794E">
              <w:rPr>
                <w:rFonts w:ascii="Arial" w:hAnsi="Arial" w:cs="Arial"/>
                <w:sz w:val="20"/>
                <w:szCs w:val="20"/>
              </w:rPr>
              <w:t>USD SIBOR</w:t>
            </w:r>
          </w:p>
        </w:tc>
        <w:tc>
          <w:tcPr>
            <w:tcW w:w="3780" w:type="dxa"/>
            <w:vAlign w:val="center"/>
          </w:tcPr>
          <w:p w:rsidR="005622D0" w:rsidRPr="0089794E" w:rsidRDefault="005622D0" w:rsidP="0089794E">
            <w:pPr>
              <w:pStyle w:val="Default"/>
              <w:rPr>
                <w:rFonts w:ascii="Arial" w:hAnsi="Arial" w:cs="Arial"/>
                <w:sz w:val="20"/>
                <w:szCs w:val="20"/>
              </w:rPr>
            </w:pPr>
            <w:r w:rsidRPr="0089794E">
              <w:rPr>
                <w:rFonts w:ascii="Arial" w:hAnsi="Arial" w:cs="Arial"/>
                <w:sz w:val="20"/>
                <w:szCs w:val="20"/>
              </w:rPr>
              <w:t>Transit to Alternative Benchmark: USD LIBOR</w:t>
            </w:r>
          </w:p>
        </w:tc>
        <w:tc>
          <w:tcPr>
            <w:tcW w:w="2070" w:type="dxa"/>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31 Dec 2013</w:t>
            </w:r>
          </w:p>
        </w:tc>
        <w:tc>
          <w:tcPr>
            <w:tcW w:w="2070" w:type="dxa"/>
            <w:vAlign w:val="center"/>
          </w:tcPr>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N.A</w:t>
            </w:r>
          </w:p>
          <w:p w:rsidR="005622D0" w:rsidRPr="0089794E" w:rsidRDefault="005622D0" w:rsidP="0089794E">
            <w:pPr>
              <w:pStyle w:val="Default"/>
              <w:jc w:val="center"/>
              <w:rPr>
                <w:rFonts w:ascii="Arial" w:hAnsi="Arial" w:cs="Arial"/>
                <w:sz w:val="20"/>
                <w:szCs w:val="20"/>
              </w:rPr>
            </w:pPr>
            <w:r w:rsidRPr="0089794E">
              <w:rPr>
                <w:rFonts w:ascii="Arial" w:hAnsi="Arial" w:cs="Arial"/>
                <w:sz w:val="20"/>
                <w:szCs w:val="20"/>
              </w:rPr>
              <w:t>1 Jan 2014: Transit to Alternative Benchmark</w:t>
            </w:r>
          </w:p>
        </w:tc>
      </w:tr>
    </w:tbl>
    <w:p w:rsidR="005622D0" w:rsidRPr="0089794E" w:rsidRDefault="005622D0" w:rsidP="0089794E">
      <w:pPr>
        <w:spacing w:after="0" w:line="240" w:lineRule="auto"/>
        <w:rPr>
          <w:rFonts w:ascii="Arial" w:hAnsi="Arial" w:cs="Arial"/>
          <w:sz w:val="20"/>
          <w:szCs w:val="20"/>
        </w:rPr>
      </w:pPr>
    </w:p>
    <w:p w:rsidR="001616B9" w:rsidRPr="0089794E" w:rsidRDefault="001616B9" w:rsidP="0089794E">
      <w:pPr>
        <w:pStyle w:val="Default"/>
        <w:numPr>
          <w:ilvl w:val="0"/>
          <w:numId w:val="1"/>
        </w:numPr>
        <w:ind w:left="0" w:firstLine="0"/>
        <w:jc w:val="both"/>
        <w:rPr>
          <w:rFonts w:ascii="Arial" w:hAnsi="Arial" w:cs="Arial"/>
          <w:sz w:val="20"/>
          <w:szCs w:val="20"/>
        </w:rPr>
      </w:pPr>
      <w:r w:rsidRPr="0089794E">
        <w:rPr>
          <w:rFonts w:ascii="Arial" w:hAnsi="Arial" w:cs="Arial"/>
          <w:sz w:val="20"/>
          <w:szCs w:val="20"/>
        </w:rPr>
        <w:t>To facilitate a smooth transition to the new rate benchmarks,</w:t>
      </w:r>
      <w:r w:rsidRPr="0089794E">
        <w:rPr>
          <w:rFonts w:ascii="Arial" w:eastAsia="Times New Roman" w:hAnsi="Arial" w:cs="Arial"/>
          <w:color w:val="auto"/>
          <w:sz w:val="20"/>
          <w:szCs w:val="20"/>
        </w:rPr>
        <w:t xml:space="preserve"> the International Swaps and Derivatives Association, Inc. (</w:t>
      </w:r>
      <w:r w:rsidRPr="0089794E">
        <w:rPr>
          <w:rFonts w:ascii="Arial" w:eastAsia="Times New Roman" w:hAnsi="Arial" w:cs="Arial"/>
          <w:b/>
          <w:color w:val="auto"/>
          <w:sz w:val="20"/>
          <w:szCs w:val="20"/>
        </w:rPr>
        <w:t>ISDA</w:t>
      </w:r>
      <w:r w:rsidRPr="0089794E">
        <w:rPr>
          <w:rFonts w:ascii="Arial" w:eastAsia="Times New Roman" w:hAnsi="Arial" w:cs="Arial"/>
          <w:color w:val="auto"/>
          <w:sz w:val="20"/>
          <w:szCs w:val="20"/>
        </w:rPr>
        <w:t>) has published a Multilateral Amendment Agreement (</w:t>
      </w:r>
      <w:r w:rsidRPr="0089794E">
        <w:rPr>
          <w:rFonts w:ascii="Arial" w:eastAsia="Times New Roman" w:hAnsi="Arial" w:cs="Arial"/>
          <w:b/>
          <w:color w:val="auto"/>
          <w:sz w:val="20"/>
          <w:szCs w:val="20"/>
        </w:rPr>
        <w:t>Rates-MAA</w:t>
      </w:r>
      <w:r w:rsidRPr="0089794E">
        <w:rPr>
          <w:rFonts w:ascii="Arial" w:eastAsia="Times New Roman" w:hAnsi="Arial" w:cs="Arial"/>
          <w:color w:val="auto"/>
          <w:sz w:val="20"/>
          <w:szCs w:val="20"/>
        </w:rPr>
        <w:t>) on 29 August 2013. The Rates-MAA will assist parties to implement the recommendations of the</w:t>
      </w:r>
      <w:r w:rsidRPr="0089794E">
        <w:rPr>
          <w:rFonts w:ascii="Arial" w:hAnsi="Arial" w:cs="Arial"/>
          <w:sz w:val="20"/>
          <w:szCs w:val="20"/>
        </w:rPr>
        <w:t xml:space="preserve"> SFEMC that parties mutually agree to amend </w:t>
      </w:r>
      <w:r w:rsidR="00B062B4" w:rsidRPr="0089794E">
        <w:rPr>
          <w:rFonts w:ascii="Arial" w:hAnsi="Arial" w:cs="Arial"/>
          <w:sz w:val="20"/>
          <w:szCs w:val="20"/>
        </w:rPr>
        <w:t>their</w:t>
      </w:r>
      <w:r w:rsidRPr="0089794E">
        <w:rPr>
          <w:rFonts w:ascii="Arial" w:eastAsia="Times New Roman" w:hAnsi="Arial" w:cs="Arial"/>
          <w:sz w:val="20"/>
          <w:szCs w:val="20"/>
        </w:rPr>
        <w:t xml:space="preserve"> relevant contracts referencing the existing </w:t>
      </w:r>
      <w:r w:rsidR="00B062B4" w:rsidRPr="0089794E">
        <w:rPr>
          <w:rFonts w:ascii="Arial" w:eastAsia="Times New Roman" w:hAnsi="Arial" w:cs="Arial"/>
          <w:sz w:val="20"/>
          <w:szCs w:val="20"/>
        </w:rPr>
        <w:t xml:space="preserve">SGD SOR, SGD SIBOR and USD SIBOR </w:t>
      </w:r>
      <w:r w:rsidRPr="0089794E">
        <w:rPr>
          <w:rFonts w:ascii="Arial" w:eastAsia="Times New Roman" w:hAnsi="Arial" w:cs="Arial"/>
          <w:sz w:val="20"/>
          <w:szCs w:val="20"/>
        </w:rPr>
        <w:t>rate benchmarks</w:t>
      </w:r>
      <w:r w:rsidR="00B062B4" w:rsidRPr="0089794E">
        <w:rPr>
          <w:rFonts w:ascii="Arial" w:eastAsia="Times New Roman" w:hAnsi="Arial" w:cs="Arial"/>
          <w:sz w:val="20"/>
          <w:szCs w:val="20"/>
        </w:rPr>
        <w:t>.</w:t>
      </w:r>
    </w:p>
    <w:p w:rsidR="00B062B4" w:rsidRPr="0089794E" w:rsidRDefault="00B062B4" w:rsidP="0089794E">
      <w:pPr>
        <w:pStyle w:val="Default"/>
        <w:jc w:val="both"/>
        <w:rPr>
          <w:rFonts w:ascii="Arial" w:hAnsi="Arial" w:cs="Arial"/>
          <w:sz w:val="20"/>
          <w:szCs w:val="20"/>
        </w:rPr>
      </w:pPr>
    </w:p>
    <w:p w:rsidR="00A96D5B" w:rsidRPr="0089794E" w:rsidRDefault="00B062B4" w:rsidP="0089794E">
      <w:pPr>
        <w:pStyle w:val="Default"/>
        <w:numPr>
          <w:ilvl w:val="0"/>
          <w:numId w:val="1"/>
        </w:numPr>
        <w:ind w:left="0" w:firstLine="0"/>
        <w:jc w:val="both"/>
        <w:rPr>
          <w:rFonts w:ascii="Arial" w:hAnsi="Arial" w:cs="Arial"/>
          <w:sz w:val="20"/>
          <w:szCs w:val="20"/>
        </w:rPr>
      </w:pPr>
      <w:r w:rsidRPr="0089794E">
        <w:rPr>
          <w:rFonts w:ascii="Arial" w:eastAsia="Times New Roman" w:hAnsi="Arial" w:cs="Arial"/>
          <w:sz w:val="20"/>
          <w:szCs w:val="20"/>
        </w:rPr>
        <w:t xml:space="preserve">The Rates-MAA </w:t>
      </w:r>
      <w:r w:rsidR="009758FB" w:rsidRPr="0089794E">
        <w:rPr>
          <w:rFonts w:ascii="Arial" w:eastAsia="Times New Roman" w:hAnsi="Arial" w:cs="Arial"/>
          <w:sz w:val="20"/>
          <w:szCs w:val="20"/>
        </w:rPr>
        <w:t xml:space="preserve">will </w:t>
      </w:r>
      <w:r w:rsidR="00A96D5B" w:rsidRPr="0089794E">
        <w:rPr>
          <w:rFonts w:ascii="Arial" w:eastAsia="Times New Roman" w:hAnsi="Arial" w:cs="Arial"/>
          <w:sz w:val="20"/>
          <w:szCs w:val="20"/>
        </w:rPr>
        <w:t xml:space="preserve">apply to </w:t>
      </w:r>
      <w:r w:rsidR="009758FB" w:rsidRPr="0089794E">
        <w:rPr>
          <w:rFonts w:ascii="Arial" w:eastAsia="Times New Roman" w:hAnsi="Arial" w:cs="Arial"/>
          <w:sz w:val="20"/>
          <w:szCs w:val="20"/>
        </w:rPr>
        <w:t>OTC derivatives and other financial transactions such as repos</w:t>
      </w:r>
      <w:r w:rsidR="00A96D5B" w:rsidRPr="0089794E">
        <w:rPr>
          <w:rFonts w:ascii="Arial" w:eastAsia="Times New Roman" w:hAnsi="Arial" w:cs="Arial"/>
          <w:sz w:val="20"/>
          <w:szCs w:val="20"/>
        </w:rPr>
        <w:t>. In addition, the Rates-MAA will apply to t</w:t>
      </w:r>
      <w:r w:rsidRPr="0089794E">
        <w:rPr>
          <w:rFonts w:ascii="Arial" w:hAnsi="Arial" w:cs="Arial"/>
          <w:sz w:val="20"/>
          <w:szCs w:val="20"/>
        </w:rPr>
        <w:t xml:space="preserve">he </w:t>
      </w:r>
      <w:r w:rsidR="00A96D5B" w:rsidRPr="0089794E">
        <w:rPr>
          <w:rFonts w:ascii="Arial" w:hAnsi="Arial" w:cs="Arial"/>
          <w:sz w:val="20"/>
          <w:szCs w:val="20"/>
        </w:rPr>
        <w:t>ISDA English or New York law governed Credit Support Documents</w:t>
      </w:r>
      <w:r w:rsidRPr="0089794E">
        <w:rPr>
          <w:rFonts w:ascii="Arial" w:hAnsi="Arial" w:cs="Arial"/>
          <w:sz w:val="20"/>
          <w:szCs w:val="20"/>
        </w:rPr>
        <w:t>.</w:t>
      </w:r>
      <w:r w:rsidR="00A96D5B" w:rsidRPr="0089794E">
        <w:rPr>
          <w:rFonts w:ascii="Arial" w:hAnsi="Arial" w:cs="Arial"/>
          <w:sz w:val="20"/>
          <w:szCs w:val="20"/>
        </w:rPr>
        <w:t xml:space="preserve"> </w:t>
      </w:r>
      <w:r w:rsidRPr="0089794E">
        <w:rPr>
          <w:rFonts w:ascii="Arial" w:hAnsi="Arial" w:cs="Arial"/>
          <w:sz w:val="20"/>
          <w:szCs w:val="20"/>
        </w:rPr>
        <w:t xml:space="preserve">As between any two parties to the Rates-MAA, the </w:t>
      </w:r>
      <w:r w:rsidR="00A96D5B" w:rsidRPr="0089794E">
        <w:rPr>
          <w:rFonts w:ascii="Arial" w:hAnsi="Arial" w:cs="Arial"/>
          <w:sz w:val="20"/>
          <w:szCs w:val="20"/>
        </w:rPr>
        <w:t>relevant</w:t>
      </w:r>
      <w:r w:rsidRPr="0089794E">
        <w:rPr>
          <w:rFonts w:ascii="Arial" w:hAnsi="Arial" w:cs="Arial"/>
          <w:sz w:val="20"/>
          <w:szCs w:val="20"/>
        </w:rPr>
        <w:t xml:space="preserve"> transactions or Credit Support Documents between them </w:t>
      </w:r>
      <w:r w:rsidR="00A96D5B" w:rsidRPr="0089794E">
        <w:rPr>
          <w:rFonts w:ascii="Arial" w:hAnsi="Arial" w:cs="Arial"/>
          <w:sz w:val="20"/>
          <w:szCs w:val="20"/>
        </w:rPr>
        <w:t>will be</w:t>
      </w:r>
      <w:r w:rsidRPr="0089794E">
        <w:rPr>
          <w:rFonts w:ascii="Arial" w:hAnsi="Arial" w:cs="Arial"/>
          <w:sz w:val="20"/>
          <w:szCs w:val="20"/>
        </w:rPr>
        <w:t xml:space="preserve"> amended only if and to the extent that such transactions or Credit Support Documents have a fixing of an affected rate that is to take place (</w:t>
      </w:r>
      <w:proofErr w:type="spellStart"/>
      <w:r w:rsidRPr="0089794E">
        <w:rPr>
          <w:rFonts w:ascii="Arial" w:hAnsi="Arial" w:cs="Arial"/>
          <w:sz w:val="20"/>
          <w:szCs w:val="20"/>
        </w:rPr>
        <w:t>i</w:t>
      </w:r>
      <w:proofErr w:type="spellEnd"/>
      <w:r w:rsidRPr="0089794E">
        <w:rPr>
          <w:rFonts w:ascii="Arial" w:hAnsi="Arial" w:cs="Arial"/>
          <w:sz w:val="20"/>
          <w:szCs w:val="20"/>
        </w:rPr>
        <w:t xml:space="preserve">) on or after </w:t>
      </w:r>
      <w:r w:rsidR="00883C83">
        <w:rPr>
          <w:rFonts w:ascii="Arial" w:hAnsi="Arial" w:cs="Arial"/>
          <w:sz w:val="20"/>
          <w:szCs w:val="20"/>
        </w:rPr>
        <w:t xml:space="preserve">1 </w:t>
      </w:r>
      <w:r w:rsidR="00A96D5B" w:rsidRPr="0089794E">
        <w:rPr>
          <w:rFonts w:ascii="Arial" w:hAnsi="Arial" w:cs="Arial"/>
          <w:sz w:val="20"/>
          <w:szCs w:val="20"/>
        </w:rPr>
        <w:t>October 2013</w:t>
      </w:r>
      <w:r w:rsidR="00A96D5B" w:rsidRPr="0089794E">
        <w:rPr>
          <w:rStyle w:val="FootnoteReference"/>
          <w:rFonts w:ascii="Arial" w:hAnsi="Arial" w:cs="Arial"/>
          <w:sz w:val="20"/>
          <w:szCs w:val="20"/>
        </w:rPr>
        <w:footnoteReference w:id="2"/>
      </w:r>
      <w:r w:rsidRPr="0089794E">
        <w:rPr>
          <w:rFonts w:ascii="Arial" w:hAnsi="Arial" w:cs="Arial"/>
          <w:sz w:val="20"/>
          <w:szCs w:val="20"/>
        </w:rPr>
        <w:t xml:space="preserve"> and (ii) after the date of discontinuation of the affected rate (i.e. </w:t>
      </w:r>
      <w:r w:rsidR="00883C83">
        <w:rPr>
          <w:rFonts w:ascii="Arial" w:hAnsi="Arial" w:cs="Arial"/>
          <w:sz w:val="20"/>
          <w:szCs w:val="20"/>
        </w:rPr>
        <w:t xml:space="preserve">30 </w:t>
      </w:r>
      <w:r w:rsidRPr="0089794E">
        <w:rPr>
          <w:rFonts w:ascii="Arial" w:hAnsi="Arial" w:cs="Arial"/>
          <w:sz w:val="20"/>
          <w:szCs w:val="20"/>
        </w:rPr>
        <w:t>Sep</w:t>
      </w:r>
      <w:r w:rsidR="00883C83">
        <w:rPr>
          <w:rFonts w:ascii="Arial" w:hAnsi="Arial" w:cs="Arial"/>
          <w:sz w:val="20"/>
          <w:szCs w:val="20"/>
        </w:rPr>
        <w:t>tember</w:t>
      </w:r>
      <w:r w:rsidRPr="0089794E">
        <w:rPr>
          <w:rFonts w:ascii="Arial" w:hAnsi="Arial" w:cs="Arial"/>
          <w:sz w:val="20"/>
          <w:szCs w:val="20"/>
        </w:rPr>
        <w:t xml:space="preserve"> 2013 for the SGD SOR and SGD SIBOR rate</w:t>
      </w:r>
      <w:r w:rsidR="00883C83">
        <w:rPr>
          <w:rFonts w:ascii="Arial" w:hAnsi="Arial" w:cs="Arial"/>
          <w:sz w:val="20"/>
          <w:szCs w:val="20"/>
        </w:rPr>
        <w:t xml:space="preserve"> benchmark</w:t>
      </w:r>
      <w:r w:rsidRPr="0089794E">
        <w:rPr>
          <w:rFonts w:ascii="Arial" w:hAnsi="Arial" w:cs="Arial"/>
          <w:sz w:val="20"/>
          <w:szCs w:val="20"/>
        </w:rPr>
        <w:t xml:space="preserve">s and </w:t>
      </w:r>
      <w:r w:rsidR="00883C83">
        <w:rPr>
          <w:rFonts w:ascii="Arial" w:hAnsi="Arial" w:cs="Arial"/>
          <w:sz w:val="20"/>
          <w:szCs w:val="20"/>
        </w:rPr>
        <w:t xml:space="preserve">31 </w:t>
      </w:r>
      <w:r w:rsidRPr="0089794E">
        <w:rPr>
          <w:rFonts w:ascii="Arial" w:hAnsi="Arial" w:cs="Arial"/>
          <w:sz w:val="20"/>
          <w:szCs w:val="20"/>
        </w:rPr>
        <w:t>Dec</w:t>
      </w:r>
      <w:r w:rsidR="00883C83">
        <w:rPr>
          <w:rFonts w:ascii="Arial" w:hAnsi="Arial" w:cs="Arial"/>
          <w:sz w:val="20"/>
          <w:szCs w:val="20"/>
        </w:rPr>
        <w:t>ember</w:t>
      </w:r>
      <w:r w:rsidRPr="0089794E">
        <w:rPr>
          <w:rFonts w:ascii="Arial" w:hAnsi="Arial" w:cs="Arial"/>
          <w:sz w:val="20"/>
          <w:szCs w:val="20"/>
        </w:rPr>
        <w:t xml:space="preserve"> 2013 for the USD SIBOR rate</w:t>
      </w:r>
      <w:r w:rsidR="00883C83">
        <w:rPr>
          <w:rFonts w:ascii="Arial" w:hAnsi="Arial" w:cs="Arial"/>
          <w:sz w:val="20"/>
          <w:szCs w:val="20"/>
        </w:rPr>
        <w:t xml:space="preserve"> benchmark</w:t>
      </w:r>
      <w:r w:rsidRPr="0089794E">
        <w:rPr>
          <w:rFonts w:ascii="Arial" w:hAnsi="Arial" w:cs="Arial"/>
          <w:sz w:val="20"/>
          <w:szCs w:val="20"/>
        </w:rPr>
        <w:t>). </w:t>
      </w:r>
    </w:p>
    <w:p w:rsidR="00A96D5B" w:rsidRPr="0089794E" w:rsidRDefault="00A96D5B" w:rsidP="0089794E">
      <w:pPr>
        <w:pStyle w:val="ListParagraph"/>
        <w:rPr>
          <w:rFonts w:ascii="Arial" w:hAnsi="Arial" w:cs="Arial"/>
          <w:sz w:val="20"/>
          <w:szCs w:val="20"/>
        </w:rPr>
      </w:pPr>
    </w:p>
    <w:p w:rsidR="001C39C7" w:rsidRPr="0089794E" w:rsidRDefault="00A96D5B" w:rsidP="0089794E">
      <w:pPr>
        <w:pStyle w:val="Default"/>
        <w:numPr>
          <w:ilvl w:val="0"/>
          <w:numId w:val="1"/>
        </w:numPr>
        <w:ind w:left="0" w:firstLine="0"/>
        <w:jc w:val="both"/>
        <w:rPr>
          <w:rFonts w:ascii="Arial" w:hAnsi="Arial" w:cs="Arial"/>
          <w:sz w:val="20"/>
          <w:szCs w:val="20"/>
        </w:rPr>
      </w:pPr>
      <w:r w:rsidRPr="0089794E">
        <w:rPr>
          <w:rFonts w:ascii="Arial" w:hAnsi="Arial" w:cs="Arial"/>
          <w:sz w:val="20"/>
          <w:szCs w:val="20"/>
        </w:rPr>
        <w:t>In brief, SFEMC’</w:t>
      </w:r>
      <w:r w:rsidR="001C39C7" w:rsidRPr="0089794E">
        <w:rPr>
          <w:rFonts w:ascii="Arial" w:hAnsi="Arial" w:cs="Arial"/>
          <w:sz w:val="20"/>
          <w:szCs w:val="20"/>
        </w:rPr>
        <w:t>s recommendations are as follows:</w:t>
      </w:r>
    </w:p>
    <w:p w:rsidR="001C39C7" w:rsidRPr="0089794E" w:rsidRDefault="001C39C7" w:rsidP="0089794E">
      <w:pPr>
        <w:pStyle w:val="ListParagraph"/>
        <w:rPr>
          <w:rFonts w:ascii="Arial" w:hAnsi="Arial" w:cs="Arial"/>
          <w:sz w:val="20"/>
          <w:szCs w:val="20"/>
        </w:rPr>
      </w:pPr>
    </w:p>
    <w:p w:rsidR="001C39C7" w:rsidRPr="0089794E" w:rsidRDefault="001C39C7" w:rsidP="0089794E">
      <w:pPr>
        <w:pStyle w:val="Default"/>
        <w:numPr>
          <w:ilvl w:val="0"/>
          <w:numId w:val="11"/>
        </w:numPr>
        <w:jc w:val="both"/>
        <w:rPr>
          <w:rFonts w:ascii="Arial" w:hAnsi="Arial" w:cs="Arial"/>
          <w:sz w:val="20"/>
          <w:szCs w:val="20"/>
        </w:rPr>
      </w:pPr>
      <w:r w:rsidRPr="0089794E">
        <w:rPr>
          <w:rFonts w:ascii="Arial" w:hAnsi="Arial" w:cs="Arial"/>
          <w:sz w:val="20"/>
          <w:szCs w:val="20"/>
        </w:rPr>
        <w:t>Where the new or alternative rate benchmark has a tenor that corresponds to the existing benchmark, that it replaces the existing benchmark. Thus (referring to the table below):</w:t>
      </w:r>
    </w:p>
    <w:p w:rsidR="001C39C7" w:rsidRPr="0089794E" w:rsidRDefault="001C39C7" w:rsidP="0089794E">
      <w:pPr>
        <w:pStyle w:val="Default"/>
        <w:ind w:left="720"/>
        <w:jc w:val="both"/>
        <w:rPr>
          <w:rFonts w:ascii="Arial" w:hAnsi="Arial" w:cs="Arial"/>
          <w:sz w:val="20"/>
          <w:szCs w:val="20"/>
        </w:rPr>
      </w:pPr>
      <w:r w:rsidRPr="0089794E">
        <w:rPr>
          <w:rFonts w:ascii="Arial" w:hAnsi="Arial" w:cs="Arial"/>
          <w:noProof/>
          <w:sz w:val="20"/>
          <w:szCs w:val="20"/>
          <w:lang w:val="en-GB" w:eastAsia="en-GB"/>
        </w:rPr>
        <w:lastRenderedPageBreak/>
        <w:drawing>
          <wp:inline distT="0" distB="0" distL="0" distR="0">
            <wp:extent cx="5943600" cy="818515"/>
            <wp:effectExtent l="0" t="0" r="0" b="0"/>
            <wp:docPr id="2" name="Picture 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4"/>
                    <pic:cNvPicPr>
                      <a:picLocks noChangeAspect="1" noChangeArrowheads="1"/>
                    </pic:cNvPicPr>
                  </pic:nvPicPr>
                  <pic:blipFill>
                    <a:blip r:embed="rId8" cstate="print"/>
                    <a:srcRect/>
                    <a:stretch>
                      <a:fillRect/>
                    </a:stretch>
                  </pic:blipFill>
                  <pic:spPr bwMode="auto">
                    <a:xfrm>
                      <a:off x="0" y="0"/>
                      <a:ext cx="5943600" cy="818515"/>
                    </a:xfrm>
                    <a:prstGeom prst="rect">
                      <a:avLst/>
                    </a:prstGeom>
                    <a:noFill/>
                    <a:ln w="9525">
                      <a:noFill/>
                      <a:miter lim="800000"/>
                      <a:headEnd/>
                      <a:tailEnd/>
                    </a:ln>
                  </pic:spPr>
                </pic:pic>
              </a:graphicData>
            </a:graphic>
          </wp:inline>
        </w:drawing>
      </w:r>
    </w:p>
    <w:p w:rsidR="001C39C7" w:rsidRPr="0089794E" w:rsidRDefault="001C39C7" w:rsidP="0089794E">
      <w:pPr>
        <w:pStyle w:val="ListParagraph"/>
        <w:numPr>
          <w:ilvl w:val="0"/>
          <w:numId w:val="12"/>
        </w:numPr>
        <w:contextualSpacing w:val="0"/>
        <w:jc w:val="both"/>
        <w:rPr>
          <w:rFonts w:ascii="Arial" w:hAnsi="Arial" w:cs="Arial"/>
          <w:sz w:val="20"/>
          <w:szCs w:val="20"/>
        </w:rPr>
      </w:pPr>
      <w:r w:rsidRPr="0089794E">
        <w:rPr>
          <w:rFonts w:ascii="Arial" w:hAnsi="Arial" w:cs="Arial"/>
          <w:sz w:val="20"/>
          <w:szCs w:val="20"/>
        </w:rPr>
        <w:t>SGD SOR O/N, 1M, 3M and 6M rates will be replaced by the corresponding SGD SOR VWAP O/N, 1M, 3M and 6M rates.</w:t>
      </w:r>
    </w:p>
    <w:p w:rsidR="001C39C7" w:rsidRPr="0089794E" w:rsidRDefault="001C39C7" w:rsidP="0089794E">
      <w:pPr>
        <w:pStyle w:val="ListParagraph"/>
        <w:numPr>
          <w:ilvl w:val="0"/>
          <w:numId w:val="12"/>
        </w:numPr>
        <w:contextualSpacing w:val="0"/>
        <w:jc w:val="both"/>
        <w:rPr>
          <w:rFonts w:ascii="Arial" w:hAnsi="Arial" w:cs="Arial"/>
          <w:sz w:val="20"/>
          <w:szCs w:val="20"/>
        </w:rPr>
      </w:pPr>
      <w:r w:rsidRPr="0089794E">
        <w:rPr>
          <w:rFonts w:ascii="Arial" w:hAnsi="Arial" w:cs="Arial"/>
          <w:sz w:val="20"/>
          <w:szCs w:val="20"/>
        </w:rPr>
        <w:t>USD SIBOR O/N, 1W, 1M, 2M, 3M, 6M and 12M rates will be replaced by the corresponding USD LIBOR O/N, 1W, 1M, 2M, 3M, 6M and 12M rates.</w:t>
      </w:r>
    </w:p>
    <w:p w:rsidR="001C39C7" w:rsidRPr="0089794E" w:rsidRDefault="001C39C7" w:rsidP="0089794E">
      <w:pPr>
        <w:pStyle w:val="Default"/>
        <w:ind w:left="1440"/>
        <w:jc w:val="both"/>
        <w:rPr>
          <w:rFonts w:ascii="Arial" w:hAnsi="Arial" w:cs="Arial"/>
          <w:sz w:val="20"/>
          <w:szCs w:val="20"/>
        </w:rPr>
      </w:pPr>
    </w:p>
    <w:p w:rsidR="001C39C7" w:rsidRPr="0089794E" w:rsidRDefault="001C39C7" w:rsidP="0089794E">
      <w:pPr>
        <w:pStyle w:val="Default"/>
        <w:numPr>
          <w:ilvl w:val="0"/>
          <w:numId w:val="11"/>
        </w:numPr>
        <w:jc w:val="both"/>
        <w:rPr>
          <w:rFonts w:ascii="Arial" w:hAnsi="Arial" w:cs="Arial"/>
          <w:sz w:val="20"/>
          <w:szCs w:val="20"/>
        </w:rPr>
      </w:pPr>
      <w:r w:rsidRPr="0089794E">
        <w:rPr>
          <w:rFonts w:ascii="Arial" w:hAnsi="Arial" w:cs="Arial"/>
          <w:sz w:val="20"/>
          <w:szCs w:val="20"/>
        </w:rPr>
        <w:t>Where the new or alternative rate benchmark does not have a tenor that corresponds to the existing benchmark, but does have longer and shorter tenors, that</w:t>
      </w:r>
      <w:r w:rsidR="00613D39" w:rsidRPr="0089794E">
        <w:rPr>
          <w:rFonts w:ascii="Arial" w:hAnsi="Arial" w:cs="Arial"/>
          <w:sz w:val="20"/>
          <w:szCs w:val="20"/>
        </w:rPr>
        <w:t xml:space="preserve"> the linearly interpolated new or alternative rate</w:t>
      </w:r>
      <w:r w:rsidRPr="0089794E">
        <w:rPr>
          <w:rFonts w:ascii="Arial" w:hAnsi="Arial" w:cs="Arial"/>
          <w:sz w:val="20"/>
          <w:szCs w:val="20"/>
        </w:rPr>
        <w:t xml:space="preserve"> </w:t>
      </w:r>
      <w:r w:rsidR="00613D39" w:rsidRPr="0089794E">
        <w:rPr>
          <w:rFonts w:ascii="Arial" w:hAnsi="Arial" w:cs="Arial"/>
          <w:sz w:val="20"/>
          <w:szCs w:val="20"/>
        </w:rPr>
        <w:t xml:space="preserve">replace </w:t>
      </w:r>
      <w:r w:rsidRPr="0089794E">
        <w:rPr>
          <w:rFonts w:ascii="Arial" w:hAnsi="Arial" w:cs="Arial"/>
          <w:sz w:val="20"/>
          <w:szCs w:val="20"/>
        </w:rPr>
        <w:t>the existing benchmark. Thus (referring to the table above)</w:t>
      </w:r>
      <w:r w:rsidR="00613D39" w:rsidRPr="0089794E">
        <w:rPr>
          <w:rStyle w:val="FootnoteReference"/>
          <w:rFonts w:ascii="Arial" w:hAnsi="Arial" w:cs="Arial"/>
          <w:sz w:val="20"/>
          <w:szCs w:val="20"/>
        </w:rPr>
        <w:footnoteReference w:id="3"/>
      </w:r>
      <w:r w:rsidRPr="0089794E">
        <w:rPr>
          <w:rFonts w:ascii="Arial" w:hAnsi="Arial" w:cs="Arial"/>
          <w:sz w:val="20"/>
          <w:szCs w:val="20"/>
        </w:rPr>
        <w:t>:</w:t>
      </w:r>
    </w:p>
    <w:p w:rsidR="001C39C7" w:rsidRPr="0089794E" w:rsidRDefault="001C39C7" w:rsidP="0089794E">
      <w:pPr>
        <w:pStyle w:val="Default"/>
        <w:ind w:left="720"/>
        <w:jc w:val="both"/>
        <w:rPr>
          <w:rFonts w:ascii="Arial" w:hAnsi="Arial" w:cs="Arial"/>
          <w:sz w:val="20"/>
          <w:szCs w:val="20"/>
        </w:rPr>
      </w:pPr>
    </w:p>
    <w:p w:rsidR="00613D39" w:rsidRPr="0089794E" w:rsidRDefault="00613D39" w:rsidP="0089794E">
      <w:pPr>
        <w:pStyle w:val="Default"/>
        <w:numPr>
          <w:ilvl w:val="0"/>
          <w:numId w:val="13"/>
        </w:numPr>
        <w:jc w:val="both"/>
        <w:rPr>
          <w:rFonts w:ascii="Arial" w:hAnsi="Arial" w:cs="Arial"/>
          <w:sz w:val="20"/>
          <w:szCs w:val="20"/>
        </w:rPr>
      </w:pPr>
      <w:r w:rsidRPr="0089794E">
        <w:rPr>
          <w:rFonts w:ascii="Arial" w:hAnsi="Arial" w:cs="Arial"/>
          <w:sz w:val="20"/>
          <w:szCs w:val="20"/>
        </w:rPr>
        <w:t>SGD SOR 1W rate will be replaced by the linearly interpolated SGD SOR VWAP O/N and 1M rate.</w:t>
      </w:r>
    </w:p>
    <w:p w:rsidR="00613D39" w:rsidRPr="0089794E" w:rsidRDefault="00613D39" w:rsidP="0089794E">
      <w:pPr>
        <w:pStyle w:val="Default"/>
        <w:numPr>
          <w:ilvl w:val="0"/>
          <w:numId w:val="13"/>
        </w:numPr>
        <w:jc w:val="both"/>
        <w:rPr>
          <w:rFonts w:ascii="Arial" w:hAnsi="Arial" w:cs="Arial"/>
          <w:sz w:val="20"/>
          <w:szCs w:val="20"/>
        </w:rPr>
      </w:pPr>
      <w:r w:rsidRPr="0089794E">
        <w:rPr>
          <w:rFonts w:ascii="Arial" w:hAnsi="Arial" w:cs="Arial"/>
          <w:sz w:val="20"/>
          <w:szCs w:val="20"/>
        </w:rPr>
        <w:t>SGD SOR 2M rate will be replaced by the linearly interpolated SGD SOR VWAP 1M and 3M rate.</w:t>
      </w:r>
    </w:p>
    <w:p w:rsidR="00613D39" w:rsidRPr="0089794E" w:rsidRDefault="00613D39" w:rsidP="0089794E">
      <w:pPr>
        <w:pStyle w:val="Default"/>
        <w:numPr>
          <w:ilvl w:val="0"/>
          <w:numId w:val="13"/>
        </w:numPr>
        <w:jc w:val="both"/>
        <w:rPr>
          <w:rFonts w:ascii="Arial" w:hAnsi="Arial" w:cs="Arial"/>
          <w:sz w:val="20"/>
          <w:szCs w:val="20"/>
        </w:rPr>
      </w:pPr>
      <w:r w:rsidRPr="0089794E">
        <w:rPr>
          <w:rFonts w:ascii="Arial" w:hAnsi="Arial" w:cs="Arial"/>
          <w:sz w:val="20"/>
          <w:szCs w:val="20"/>
        </w:rPr>
        <w:t>USD SIBOR 9M rate will be replaced by the linearly interpolated USD LIBOR 6M and 12M rate.</w:t>
      </w:r>
    </w:p>
    <w:p w:rsidR="001C39C7" w:rsidRPr="0089794E" w:rsidRDefault="001C39C7" w:rsidP="0089794E">
      <w:pPr>
        <w:pStyle w:val="Default"/>
        <w:ind w:left="720"/>
        <w:jc w:val="both"/>
        <w:rPr>
          <w:rFonts w:ascii="Arial" w:hAnsi="Arial" w:cs="Arial"/>
          <w:sz w:val="20"/>
          <w:szCs w:val="20"/>
        </w:rPr>
      </w:pPr>
    </w:p>
    <w:p w:rsidR="001C39C7" w:rsidRDefault="00613D39" w:rsidP="0089794E">
      <w:pPr>
        <w:pStyle w:val="Default"/>
        <w:numPr>
          <w:ilvl w:val="0"/>
          <w:numId w:val="11"/>
        </w:numPr>
        <w:jc w:val="both"/>
        <w:rPr>
          <w:rFonts w:ascii="Arial" w:hAnsi="Arial" w:cs="Arial"/>
          <w:sz w:val="20"/>
          <w:szCs w:val="20"/>
        </w:rPr>
      </w:pPr>
      <w:r w:rsidRPr="0089794E">
        <w:rPr>
          <w:rFonts w:ascii="Arial" w:hAnsi="Arial" w:cs="Arial"/>
          <w:sz w:val="20"/>
          <w:szCs w:val="20"/>
        </w:rPr>
        <w:t>For SGD SIBOR, that the discontinued tenors be replaced by the linearly interpolated rate, i.e.</w:t>
      </w:r>
      <w:r w:rsidRPr="0089794E">
        <w:rPr>
          <w:rStyle w:val="FootnoteReference"/>
          <w:rFonts w:ascii="Arial" w:hAnsi="Arial" w:cs="Arial"/>
          <w:sz w:val="20"/>
          <w:szCs w:val="20"/>
        </w:rPr>
        <w:footnoteReference w:id="4"/>
      </w:r>
      <w:r w:rsidRPr="0089794E">
        <w:rPr>
          <w:rFonts w:ascii="Arial" w:hAnsi="Arial" w:cs="Arial"/>
          <w:sz w:val="20"/>
          <w:szCs w:val="20"/>
        </w:rPr>
        <w:t>:</w:t>
      </w:r>
    </w:p>
    <w:p w:rsidR="00821B6F" w:rsidRPr="0089794E" w:rsidRDefault="00821B6F" w:rsidP="00821B6F">
      <w:pPr>
        <w:pStyle w:val="Default"/>
        <w:ind w:left="720"/>
        <w:jc w:val="both"/>
        <w:rPr>
          <w:rFonts w:ascii="Arial" w:hAnsi="Arial" w:cs="Arial"/>
          <w:sz w:val="20"/>
          <w:szCs w:val="20"/>
        </w:rPr>
      </w:pPr>
    </w:p>
    <w:p w:rsidR="00613D39" w:rsidRPr="0089794E" w:rsidRDefault="00613D39" w:rsidP="0089794E">
      <w:pPr>
        <w:pStyle w:val="Default"/>
        <w:numPr>
          <w:ilvl w:val="0"/>
          <w:numId w:val="14"/>
        </w:numPr>
        <w:jc w:val="both"/>
        <w:rPr>
          <w:rFonts w:ascii="Arial" w:hAnsi="Arial" w:cs="Arial"/>
          <w:sz w:val="20"/>
          <w:szCs w:val="20"/>
        </w:rPr>
      </w:pPr>
      <w:r w:rsidRPr="0089794E">
        <w:rPr>
          <w:rFonts w:ascii="Arial" w:hAnsi="Arial" w:cs="Arial"/>
          <w:sz w:val="20"/>
          <w:szCs w:val="20"/>
        </w:rPr>
        <w:t>SGD SIBOR 2M rate will be replaced by the linearly interpolated SGD SIBOR 1M and 3M rate.</w:t>
      </w:r>
    </w:p>
    <w:p w:rsidR="00613D39" w:rsidRPr="0089794E" w:rsidRDefault="00613D39" w:rsidP="0089794E">
      <w:pPr>
        <w:pStyle w:val="Default"/>
        <w:numPr>
          <w:ilvl w:val="0"/>
          <w:numId w:val="14"/>
        </w:numPr>
        <w:jc w:val="both"/>
        <w:rPr>
          <w:rFonts w:ascii="Arial" w:hAnsi="Arial" w:cs="Arial"/>
          <w:sz w:val="20"/>
          <w:szCs w:val="20"/>
        </w:rPr>
      </w:pPr>
      <w:r w:rsidRPr="0089794E">
        <w:rPr>
          <w:rFonts w:ascii="Arial" w:hAnsi="Arial" w:cs="Arial"/>
          <w:sz w:val="20"/>
          <w:szCs w:val="20"/>
        </w:rPr>
        <w:t>SGD SIBOR 9M rate will be replaced by the linearly interpolated SGD SIBOR 6M and 12M rate.</w:t>
      </w:r>
    </w:p>
    <w:p w:rsidR="001C39C7" w:rsidRPr="0089794E" w:rsidRDefault="001C39C7" w:rsidP="0089794E">
      <w:pPr>
        <w:pStyle w:val="ListParagraph"/>
        <w:rPr>
          <w:rFonts w:ascii="Arial" w:hAnsi="Arial" w:cs="Arial"/>
          <w:sz w:val="20"/>
          <w:szCs w:val="20"/>
        </w:rPr>
      </w:pPr>
    </w:p>
    <w:p w:rsidR="00B062B4" w:rsidRDefault="00613D39" w:rsidP="0089794E">
      <w:pPr>
        <w:pStyle w:val="Default"/>
        <w:numPr>
          <w:ilvl w:val="0"/>
          <w:numId w:val="1"/>
        </w:numPr>
        <w:ind w:left="0" w:firstLine="0"/>
        <w:jc w:val="both"/>
        <w:rPr>
          <w:rFonts w:ascii="Arial" w:hAnsi="Arial" w:cs="Arial"/>
          <w:sz w:val="20"/>
          <w:szCs w:val="20"/>
        </w:rPr>
      </w:pPr>
      <w:r w:rsidRPr="0089794E">
        <w:rPr>
          <w:rFonts w:ascii="Arial" w:hAnsi="Arial" w:cs="Arial"/>
          <w:sz w:val="20"/>
          <w:szCs w:val="20"/>
        </w:rPr>
        <w:t>The Rates-MAA does not deal with a case where the affected rate is the SGD SOR 9M or 12M rates.  As there is no market standard method of extrapolation, parties will have to bilaterally agree how to deal with such cases.</w:t>
      </w:r>
    </w:p>
    <w:p w:rsidR="0089794E" w:rsidRPr="0089794E" w:rsidRDefault="0089794E" w:rsidP="0089794E">
      <w:pPr>
        <w:pStyle w:val="Default"/>
        <w:jc w:val="both"/>
        <w:rPr>
          <w:rFonts w:ascii="Arial" w:hAnsi="Arial" w:cs="Arial"/>
          <w:sz w:val="20"/>
          <w:szCs w:val="20"/>
        </w:rPr>
      </w:pPr>
    </w:p>
    <w:p w:rsidR="00737D98" w:rsidRPr="0089794E" w:rsidRDefault="00613D39" w:rsidP="0089794E">
      <w:pPr>
        <w:pStyle w:val="Default"/>
        <w:numPr>
          <w:ilvl w:val="0"/>
          <w:numId w:val="1"/>
        </w:numPr>
        <w:ind w:left="0" w:firstLine="0"/>
        <w:jc w:val="both"/>
        <w:rPr>
          <w:rFonts w:ascii="Arial" w:hAnsi="Arial" w:cs="Arial"/>
          <w:sz w:val="20"/>
          <w:szCs w:val="20"/>
        </w:rPr>
      </w:pPr>
      <w:r w:rsidRPr="0089794E">
        <w:rPr>
          <w:rFonts w:ascii="Arial" w:hAnsi="Arial" w:cs="Arial"/>
          <w:sz w:val="20"/>
          <w:szCs w:val="20"/>
        </w:rPr>
        <w:t>We have signed up to the Rates</w:t>
      </w:r>
      <w:r w:rsidR="00B062B4" w:rsidRPr="0089794E">
        <w:rPr>
          <w:rFonts w:ascii="Arial" w:hAnsi="Arial" w:cs="Arial"/>
          <w:sz w:val="20"/>
          <w:szCs w:val="20"/>
        </w:rPr>
        <w:t xml:space="preserve">-MAA. </w:t>
      </w:r>
      <w:r w:rsidR="003B1992" w:rsidRPr="0089794E">
        <w:rPr>
          <w:rFonts w:ascii="Arial" w:hAnsi="Arial" w:cs="Arial"/>
          <w:sz w:val="20"/>
          <w:szCs w:val="20"/>
        </w:rPr>
        <w:t>As we</w:t>
      </w:r>
      <w:r w:rsidR="009F71F2" w:rsidRPr="0089794E">
        <w:rPr>
          <w:rFonts w:ascii="Arial" w:hAnsi="Arial" w:cs="Arial"/>
          <w:sz w:val="20"/>
          <w:szCs w:val="20"/>
        </w:rPr>
        <w:t xml:space="preserve"> have outstanding transactions with you that are impacted by the proposed cha</w:t>
      </w:r>
      <w:r w:rsidR="003B1992" w:rsidRPr="0089794E">
        <w:rPr>
          <w:rFonts w:ascii="Arial" w:hAnsi="Arial" w:cs="Arial"/>
          <w:sz w:val="20"/>
          <w:szCs w:val="20"/>
        </w:rPr>
        <w:t xml:space="preserve">nges in the above </w:t>
      </w:r>
      <w:r w:rsidRPr="0089794E">
        <w:rPr>
          <w:rFonts w:ascii="Arial" w:hAnsi="Arial" w:cs="Arial"/>
          <w:sz w:val="20"/>
          <w:szCs w:val="20"/>
        </w:rPr>
        <w:t>rate</w:t>
      </w:r>
      <w:r w:rsidR="003B1992" w:rsidRPr="0089794E">
        <w:rPr>
          <w:rFonts w:ascii="Arial" w:hAnsi="Arial" w:cs="Arial"/>
          <w:sz w:val="20"/>
          <w:szCs w:val="20"/>
        </w:rPr>
        <w:t xml:space="preserve"> benchmarks, we request that you </w:t>
      </w:r>
      <w:r w:rsidR="000F381F" w:rsidRPr="0089794E">
        <w:rPr>
          <w:rFonts w:ascii="Arial" w:hAnsi="Arial" w:cs="Arial"/>
          <w:sz w:val="20"/>
          <w:szCs w:val="20"/>
        </w:rPr>
        <w:t xml:space="preserve">sign up </w:t>
      </w:r>
      <w:r w:rsidR="003B1992" w:rsidRPr="0089794E">
        <w:rPr>
          <w:rFonts w:ascii="Arial" w:hAnsi="Arial" w:cs="Arial"/>
          <w:sz w:val="20"/>
          <w:szCs w:val="20"/>
        </w:rPr>
        <w:t xml:space="preserve">to the </w:t>
      </w:r>
      <w:r w:rsidRPr="0089794E">
        <w:rPr>
          <w:rFonts w:ascii="Arial" w:hAnsi="Arial" w:cs="Arial"/>
          <w:sz w:val="20"/>
          <w:szCs w:val="20"/>
        </w:rPr>
        <w:t>Rates</w:t>
      </w:r>
      <w:r w:rsidR="003B1992" w:rsidRPr="0089794E">
        <w:rPr>
          <w:rFonts w:ascii="Arial" w:hAnsi="Arial" w:cs="Arial"/>
          <w:sz w:val="20"/>
          <w:szCs w:val="20"/>
        </w:rPr>
        <w:t>-MAA. If you have outstanding affected transactions with other dealers besides our firm,</w:t>
      </w:r>
      <w:r w:rsidR="000F381F" w:rsidRPr="0089794E">
        <w:rPr>
          <w:rFonts w:ascii="Arial" w:hAnsi="Arial" w:cs="Arial"/>
          <w:sz w:val="20"/>
          <w:szCs w:val="20"/>
        </w:rPr>
        <w:t xml:space="preserve"> by signing up to</w:t>
      </w:r>
      <w:r w:rsidR="003B1992" w:rsidRPr="0089794E">
        <w:rPr>
          <w:rFonts w:ascii="Arial" w:hAnsi="Arial" w:cs="Arial"/>
          <w:sz w:val="20"/>
          <w:szCs w:val="20"/>
        </w:rPr>
        <w:t xml:space="preserve"> </w:t>
      </w:r>
      <w:r w:rsidR="00CA3C98" w:rsidRPr="0089794E">
        <w:rPr>
          <w:rFonts w:ascii="Arial" w:hAnsi="Arial" w:cs="Arial"/>
          <w:sz w:val="20"/>
          <w:szCs w:val="20"/>
        </w:rPr>
        <w:t>t</w:t>
      </w:r>
      <w:r w:rsidRPr="0089794E">
        <w:rPr>
          <w:rFonts w:ascii="Arial" w:eastAsia="Times New Roman" w:hAnsi="Arial" w:cs="Arial"/>
          <w:sz w:val="20"/>
          <w:szCs w:val="20"/>
        </w:rPr>
        <w:t>he Rates</w:t>
      </w:r>
      <w:r w:rsidR="00CA3C98" w:rsidRPr="0089794E">
        <w:rPr>
          <w:rFonts w:ascii="Arial" w:eastAsia="Times New Roman" w:hAnsi="Arial" w:cs="Arial"/>
          <w:sz w:val="20"/>
          <w:szCs w:val="20"/>
        </w:rPr>
        <w:t>-MAA</w:t>
      </w:r>
      <w:r w:rsidR="000F381F" w:rsidRPr="0089794E">
        <w:rPr>
          <w:rFonts w:ascii="Arial" w:eastAsia="Times New Roman" w:hAnsi="Arial" w:cs="Arial"/>
          <w:sz w:val="20"/>
          <w:szCs w:val="20"/>
        </w:rPr>
        <w:t>, you will be deemed to have amended</w:t>
      </w:r>
      <w:r w:rsidR="00CA3C98" w:rsidRPr="0089794E">
        <w:rPr>
          <w:rFonts w:ascii="Arial" w:eastAsia="Times New Roman" w:hAnsi="Arial" w:cs="Arial"/>
          <w:sz w:val="20"/>
          <w:szCs w:val="20"/>
        </w:rPr>
        <w:t xml:space="preserve"> your outstanding contracts not only with us </w:t>
      </w:r>
      <w:r w:rsidR="000F381F" w:rsidRPr="0089794E">
        <w:rPr>
          <w:rFonts w:ascii="Arial" w:eastAsia="Times New Roman" w:hAnsi="Arial" w:cs="Arial"/>
          <w:sz w:val="20"/>
          <w:szCs w:val="20"/>
        </w:rPr>
        <w:t>but with all ot</w:t>
      </w:r>
      <w:r w:rsidRPr="0089794E">
        <w:rPr>
          <w:rFonts w:ascii="Arial" w:eastAsia="Times New Roman" w:hAnsi="Arial" w:cs="Arial"/>
          <w:sz w:val="20"/>
          <w:szCs w:val="20"/>
        </w:rPr>
        <w:t>her firms that sign up to the Rates</w:t>
      </w:r>
      <w:r w:rsidR="000F381F" w:rsidRPr="0089794E">
        <w:rPr>
          <w:rFonts w:ascii="Arial" w:eastAsia="Times New Roman" w:hAnsi="Arial" w:cs="Arial"/>
          <w:sz w:val="20"/>
          <w:szCs w:val="20"/>
        </w:rPr>
        <w:t>-MAA. This will save you the trouble of e</w:t>
      </w:r>
      <w:r w:rsidR="00CA3C98" w:rsidRPr="0089794E">
        <w:rPr>
          <w:rFonts w:ascii="Arial" w:eastAsia="Times New Roman" w:hAnsi="Arial" w:cs="Arial"/>
          <w:sz w:val="20"/>
          <w:szCs w:val="20"/>
        </w:rPr>
        <w:t xml:space="preserve">ntering into separate bilateral </w:t>
      </w:r>
      <w:r w:rsidR="000F381F" w:rsidRPr="0089794E">
        <w:rPr>
          <w:rFonts w:ascii="Arial" w:eastAsia="Times New Roman" w:hAnsi="Arial" w:cs="Arial"/>
          <w:sz w:val="20"/>
          <w:szCs w:val="20"/>
        </w:rPr>
        <w:t xml:space="preserve">amendment </w:t>
      </w:r>
      <w:r w:rsidR="00CA3C98" w:rsidRPr="0089794E">
        <w:rPr>
          <w:rFonts w:ascii="Arial" w:eastAsia="Times New Roman" w:hAnsi="Arial" w:cs="Arial"/>
          <w:sz w:val="20"/>
          <w:szCs w:val="20"/>
        </w:rPr>
        <w:t xml:space="preserve">agreements with each </w:t>
      </w:r>
      <w:r w:rsidR="000F381F" w:rsidRPr="0089794E">
        <w:rPr>
          <w:rFonts w:ascii="Arial" w:eastAsia="Times New Roman" w:hAnsi="Arial" w:cs="Arial"/>
          <w:sz w:val="20"/>
          <w:szCs w:val="20"/>
        </w:rPr>
        <w:t>firm</w:t>
      </w:r>
      <w:r w:rsidR="00DB55E5" w:rsidRPr="0089794E">
        <w:rPr>
          <w:rFonts w:ascii="Arial" w:eastAsia="Times New Roman" w:hAnsi="Arial" w:cs="Arial"/>
          <w:sz w:val="20"/>
          <w:szCs w:val="20"/>
        </w:rPr>
        <w:t xml:space="preserve"> with whom you have outstanding affected transactions</w:t>
      </w:r>
      <w:r w:rsidR="000F381F" w:rsidRPr="0089794E">
        <w:rPr>
          <w:rFonts w:ascii="Arial" w:eastAsia="Times New Roman" w:hAnsi="Arial" w:cs="Arial"/>
          <w:sz w:val="20"/>
          <w:szCs w:val="20"/>
        </w:rPr>
        <w:t>.</w:t>
      </w:r>
    </w:p>
    <w:p w:rsidR="0089794E" w:rsidRPr="0089794E" w:rsidRDefault="0089794E" w:rsidP="0089794E">
      <w:pPr>
        <w:pStyle w:val="Default"/>
        <w:jc w:val="both"/>
        <w:rPr>
          <w:rFonts w:ascii="Arial" w:hAnsi="Arial" w:cs="Arial"/>
          <w:sz w:val="20"/>
          <w:szCs w:val="20"/>
        </w:rPr>
      </w:pPr>
    </w:p>
    <w:p w:rsidR="003E3285" w:rsidRPr="0089794E" w:rsidRDefault="0089794E" w:rsidP="0089794E">
      <w:pPr>
        <w:pStyle w:val="Default"/>
        <w:numPr>
          <w:ilvl w:val="0"/>
          <w:numId w:val="1"/>
        </w:numPr>
        <w:ind w:left="0" w:firstLine="0"/>
        <w:jc w:val="both"/>
        <w:rPr>
          <w:rFonts w:ascii="Arial" w:hAnsi="Arial" w:cs="Arial"/>
          <w:sz w:val="20"/>
          <w:szCs w:val="20"/>
        </w:rPr>
      </w:pPr>
      <w:r w:rsidRPr="0089794E">
        <w:rPr>
          <w:rFonts w:ascii="Arial" w:hAnsi="Arial" w:cs="Arial"/>
          <w:sz w:val="20"/>
          <w:szCs w:val="20"/>
        </w:rPr>
        <w:t>You can find the Rates</w:t>
      </w:r>
      <w:r w:rsidR="003E3285" w:rsidRPr="0089794E">
        <w:rPr>
          <w:rFonts w:ascii="Arial" w:hAnsi="Arial" w:cs="Arial"/>
          <w:sz w:val="20"/>
          <w:szCs w:val="20"/>
        </w:rPr>
        <w:t>-MAA at [</w:t>
      </w:r>
      <w:r w:rsidR="003D3ECD" w:rsidRPr="0089794E">
        <w:rPr>
          <w:rFonts w:ascii="Arial" w:hAnsi="Arial" w:cs="Arial"/>
          <w:sz w:val="20"/>
          <w:szCs w:val="20"/>
        </w:rPr>
        <w:t xml:space="preserve">insert </w:t>
      </w:r>
      <w:r w:rsidR="003E3285" w:rsidRPr="0089794E">
        <w:rPr>
          <w:rFonts w:ascii="Arial" w:hAnsi="Arial" w:cs="Arial"/>
          <w:sz w:val="20"/>
          <w:szCs w:val="20"/>
        </w:rPr>
        <w:t>link</w:t>
      </w:r>
      <w:r w:rsidR="0019201B" w:rsidRPr="0089794E">
        <w:rPr>
          <w:rFonts w:ascii="Arial" w:hAnsi="Arial" w:cs="Arial"/>
          <w:sz w:val="20"/>
          <w:szCs w:val="20"/>
        </w:rPr>
        <w:t xml:space="preserve"> to ISDA website</w:t>
      </w:r>
      <w:r w:rsidR="003E3285" w:rsidRPr="0089794E">
        <w:rPr>
          <w:rFonts w:ascii="Arial" w:hAnsi="Arial" w:cs="Arial"/>
          <w:sz w:val="20"/>
          <w:szCs w:val="20"/>
        </w:rPr>
        <w:t xml:space="preserve">]. We also enclose a copy of the </w:t>
      </w:r>
      <w:r w:rsidRPr="0089794E">
        <w:rPr>
          <w:rFonts w:ascii="Arial" w:hAnsi="Arial" w:cs="Arial"/>
          <w:sz w:val="20"/>
          <w:szCs w:val="20"/>
        </w:rPr>
        <w:t>Rates</w:t>
      </w:r>
      <w:r w:rsidR="003E3285" w:rsidRPr="0089794E">
        <w:rPr>
          <w:rFonts w:ascii="Arial" w:hAnsi="Arial" w:cs="Arial"/>
          <w:sz w:val="20"/>
          <w:szCs w:val="20"/>
        </w:rPr>
        <w:t>-MAA for your convenient reference</w:t>
      </w:r>
      <w:r w:rsidR="00DB55E5" w:rsidRPr="0089794E">
        <w:rPr>
          <w:rFonts w:ascii="Arial" w:hAnsi="Arial" w:cs="Arial"/>
          <w:sz w:val="20"/>
          <w:szCs w:val="20"/>
        </w:rPr>
        <w:t xml:space="preserve"> and execution</w:t>
      </w:r>
      <w:r w:rsidR="003E3285" w:rsidRPr="0089794E">
        <w:rPr>
          <w:rFonts w:ascii="Arial" w:hAnsi="Arial" w:cs="Arial"/>
          <w:sz w:val="20"/>
          <w:szCs w:val="20"/>
        </w:rPr>
        <w:t xml:space="preserve">. To sign up to the </w:t>
      </w:r>
      <w:r w:rsidRPr="0089794E">
        <w:rPr>
          <w:rFonts w:ascii="Arial" w:hAnsi="Arial" w:cs="Arial"/>
          <w:sz w:val="20"/>
          <w:szCs w:val="20"/>
        </w:rPr>
        <w:t>Rates</w:t>
      </w:r>
      <w:r w:rsidR="003E3285" w:rsidRPr="0089794E">
        <w:rPr>
          <w:rFonts w:ascii="Arial" w:hAnsi="Arial" w:cs="Arial"/>
          <w:sz w:val="20"/>
          <w:szCs w:val="20"/>
        </w:rPr>
        <w:t>-MAA, you need to</w:t>
      </w:r>
      <w:r w:rsidRPr="0089794E">
        <w:rPr>
          <w:rFonts w:ascii="Arial" w:hAnsi="Arial" w:cs="Arial"/>
          <w:sz w:val="20"/>
          <w:szCs w:val="20"/>
        </w:rPr>
        <w:t xml:space="preserve"> complete, sign and return the entire Rates</w:t>
      </w:r>
      <w:r w:rsidR="003E3285" w:rsidRPr="0089794E">
        <w:rPr>
          <w:rFonts w:ascii="Arial" w:hAnsi="Arial" w:cs="Arial"/>
          <w:sz w:val="20"/>
          <w:szCs w:val="20"/>
        </w:rPr>
        <w:t xml:space="preserve">-MAA </w:t>
      </w:r>
      <w:r w:rsidRPr="0089794E">
        <w:rPr>
          <w:rFonts w:ascii="Arial" w:hAnsi="Arial" w:cs="Arial"/>
          <w:sz w:val="20"/>
          <w:szCs w:val="20"/>
        </w:rPr>
        <w:t xml:space="preserve">(and not just the signature page) </w:t>
      </w:r>
      <w:r w:rsidR="003E3285" w:rsidRPr="0089794E">
        <w:rPr>
          <w:rFonts w:ascii="Arial" w:hAnsi="Arial" w:cs="Arial"/>
          <w:sz w:val="20"/>
          <w:szCs w:val="20"/>
        </w:rPr>
        <w:t>via email (scanned copy)</w:t>
      </w:r>
      <w:r w:rsidRPr="0089794E">
        <w:rPr>
          <w:rFonts w:ascii="Arial" w:hAnsi="Arial" w:cs="Arial"/>
          <w:sz w:val="20"/>
          <w:szCs w:val="20"/>
        </w:rPr>
        <w:t xml:space="preserve"> to </w:t>
      </w:r>
      <w:hyperlink r:id="rId9" w:history="1">
        <w:r w:rsidR="00BF2247" w:rsidRPr="001D7D8B">
          <w:rPr>
            <w:rStyle w:val="Hyperlink"/>
            <w:rFonts w:ascii="Arial" w:hAnsi="Arial" w:cs="Arial"/>
            <w:sz w:val="20"/>
            <w:szCs w:val="20"/>
          </w:rPr>
          <w:t>ratesamend@cliffordchance.com</w:t>
        </w:r>
      </w:hyperlink>
      <w:r w:rsidR="00BF2247">
        <w:rPr>
          <w:rFonts w:ascii="Arial" w:hAnsi="Arial" w:cs="Arial"/>
          <w:sz w:val="20"/>
          <w:szCs w:val="20"/>
        </w:rPr>
        <w:t xml:space="preserve"> </w:t>
      </w:r>
      <w:r w:rsidRPr="0089794E">
        <w:rPr>
          <w:rFonts w:ascii="Arial" w:hAnsi="Arial" w:cs="Arial"/>
          <w:sz w:val="20"/>
          <w:szCs w:val="20"/>
          <w:lang w:val="en-GB"/>
        </w:rPr>
        <w:t xml:space="preserve">by </w:t>
      </w:r>
      <w:r w:rsidRPr="0089794E">
        <w:rPr>
          <w:rFonts w:ascii="Arial" w:hAnsi="Arial" w:cs="Arial"/>
          <w:b/>
          <w:sz w:val="20"/>
          <w:szCs w:val="20"/>
          <w:u w:val="single"/>
        </w:rPr>
        <w:t xml:space="preserve">not later than 5:00 p.m. Singapore time on </w:t>
      </w:r>
      <w:r w:rsidR="00883C83">
        <w:rPr>
          <w:rFonts w:ascii="Arial" w:hAnsi="Arial" w:cs="Arial"/>
          <w:b/>
          <w:sz w:val="20"/>
          <w:szCs w:val="20"/>
          <w:u w:val="single"/>
        </w:rPr>
        <w:t xml:space="preserve">26 </w:t>
      </w:r>
      <w:r w:rsidRPr="0089794E">
        <w:rPr>
          <w:rFonts w:ascii="Arial" w:hAnsi="Arial" w:cs="Arial"/>
          <w:b/>
          <w:sz w:val="20"/>
          <w:szCs w:val="20"/>
          <w:u w:val="single"/>
        </w:rPr>
        <w:t>September 2013</w:t>
      </w:r>
      <w:r w:rsidRPr="0089794E">
        <w:rPr>
          <w:rFonts w:ascii="Arial" w:hAnsi="Arial" w:cs="Arial"/>
          <w:sz w:val="20"/>
          <w:szCs w:val="20"/>
        </w:rPr>
        <w:t xml:space="preserve">. </w:t>
      </w:r>
      <w:r w:rsidR="00BF2247">
        <w:rPr>
          <w:rFonts w:ascii="Arial" w:hAnsi="Arial" w:cs="Arial"/>
          <w:sz w:val="20"/>
          <w:szCs w:val="20"/>
        </w:rPr>
        <w:t>In your email, please in</w:t>
      </w:r>
      <w:r w:rsidR="00821B6F">
        <w:rPr>
          <w:rFonts w:ascii="Arial" w:hAnsi="Arial" w:cs="Arial"/>
          <w:sz w:val="20"/>
          <w:szCs w:val="20"/>
        </w:rPr>
        <w:t>clude</w:t>
      </w:r>
      <w:r w:rsidR="00BF2247">
        <w:rPr>
          <w:rFonts w:ascii="Arial" w:hAnsi="Arial" w:cs="Arial"/>
          <w:sz w:val="20"/>
          <w:szCs w:val="20"/>
        </w:rPr>
        <w:t xml:space="preserve"> in the “Subject” </w:t>
      </w:r>
      <w:r w:rsidR="00821B6F">
        <w:rPr>
          <w:rFonts w:ascii="Arial" w:hAnsi="Arial" w:cs="Arial"/>
          <w:sz w:val="20"/>
          <w:szCs w:val="20"/>
        </w:rPr>
        <w:t>caption and/</w:t>
      </w:r>
      <w:r w:rsidR="00BF2247">
        <w:rPr>
          <w:rFonts w:ascii="Arial" w:hAnsi="Arial" w:cs="Arial"/>
          <w:sz w:val="20"/>
          <w:szCs w:val="20"/>
        </w:rPr>
        <w:t xml:space="preserve">or body of your email </w:t>
      </w:r>
      <w:r w:rsidR="00821B6F">
        <w:rPr>
          <w:rFonts w:ascii="Arial" w:hAnsi="Arial" w:cs="Arial"/>
          <w:sz w:val="20"/>
          <w:szCs w:val="20"/>
        </w:rPr>
        <w:t>“Rates-MAA” and the name of your firm.</w:t>
      </w:r>
      <w:r w:rsidR="00BF2247">
        <w:rPr>
          <w:rFonts w:ascii="Arial" w:hAnsi="Arial" w:cs="Arial"/>
          <w:sz w:val="20"/>
          <w:szCs w:val="20"/>
        </w:rPr>
        <w:t xml:space="preserve">  </w:t>
      </w:r>
      <w:r w:rsidRPr="0089794E">
        <w:rPr>
          <w:rFonts w:ascii="Arial" w:hAnsi="Arial" w:cs="Arial"/>
          <w:sz w:val="20"/>
          <w:szCs w:val="20"/>
        </w:rPr>
        <w:t xml:space="preserve">You </w:t>
      </w:r>
      <w:r w:rsidR="003E3285" w:rsidRPr="0089794E">
        <w:rPr>
          <w:rFonts w:ascii="Arial" w:hAnsi="Arial" w:cs="Arial"/>
          <w:sz w:val="20"/>
          <w:szCs w:val="20"/>
        </w:rPr>
        <w:t xml:space="preserve">also </w:t>
      </w:r>
      <w:r w:rsidRPr="0089794E">
        <w:rPr>
          <w:rFonts w:ascii="Arial" w:hAnsi="Arial" w:cs="Arial"/>
          <w:sz w:val="20"/>
          <w:szCs w:val="20"/>
        </w:rPr>
        <w:t xml:space="preserve">need to </w:t>
      </w:r>
      <w:r w:rsidR="003E3285" w:rsidRPr="0089794E">
        <w:rPr>
          <w:rFonts w:ascii="Arial" w:hAnsi="Arial" w:cs="Arial"/>
          <w:sz w:val="20"/>
          <w:szCs w:val="20"/>
        </w:rPr>
        <w:t>send an ORIGINAL, HARD COPY</w:t>
      </w:r>
      <w:r w:rsidRPr="0089794E">
        <w:rPr>
          <w:rFonts w:ascii="Arial" w:hAnsi="Arial" w:cs="Arial"/>
          <w:sz w:val="20"/>
          <w:szCs w:val="20"/>
        </w:rPr>
        <w:t xml:space="preserve"> of the entire Rates-MAA (and not just the signature page)</w:t>
      </w:r>
      <w:r w:rsidR="003E3285" w:rsidRPr="0089794E">
        <w:rPr>
          <w:rFonts w:ascii="Arial" w:hAnsi="Arial" w:cs="Arial"/>
          <w:sz w:val="20"/>
          <w:szCs w:val="20"/>
        </w:rPr>
        <w:t xml:space="preserve"> to Clifford Chance </w:t>
      </w:r>
      <w:proofErr w:type="spellStart"/>
      <w:r w:rsidR="003E3285" w:rsidRPr="0089794E">
        <w:rPr>
          <w:rFonts w:ascii="Arial" w:hAnsi="Arial" w:cs="Arial"/>
          <w:sz w:val="20"/>
          <w:szCs w:val="20"/>
        </w:rPr>
        <w:t>Pte</w:t>
      </w:r>
      <w:proofErr w:type="spellEnd"/>
      <w:r w:rsidR="003E3285" w:rsidRPr="0089794E">
        <w:rPr>
          <w:rFonts w:ascii="Arial" w:hAnsi="Arial" w:cs="Arial"/>
          <w:sz w:val="20"/>
          <w:szCs w:val="20"/>
        </w:rPr>
        <w:t xml:space="preserve"> Ltd at </w:t>
      </w:r>
      <w:r w:rsidR="003E3285" w:rsidRPr="0089794E">
        <w:rPr>
          <w:rFonts w:ascii="Arial" w:hAnsi="Arial" w:cs="Arial"/>
          <w:sz w:val="20"/>
          <w:szCs w:val="20"/>
          <w:lang w:val="en-GB"/>
        </w:rPr>
        <w:t>12 Marina Boulevard, 25</w:t>
      </w:r>
      <w:r w:rsidR="003E3285" w:rsidRPr="0089794E">
        <w:rPr>
          <w:rFonts w:ascii="Arial" w:hAnsi="Arial" w:cs="Arial"/>
          <w:sz w:val="20"/>
          <w:szCs w:val="20"/>
          <w:vertAlign w:val="superscript"/>
          <w:lang w:val="en-GB"/>
        </w:rPr>
        <w:t>th</w:t>
      </w:r>
      <w:r w:rsidR="003E3285" w:rsidRPr="0089794E">
        <w:rPr>
          <w:rFonts w:ascii="Arial" w:hAnsi="Arial" w:cs="Arial"/>
          <w:sz w:val="20"/>
          <w:szCs w:val="20"/>
          <w:lang w:val="en-GB"/>
        </w:rPr>
        <w:t xml:space="preserve"> Floor, </w:t>
      </w:r>
      <w:r w:rsidR="003E3285" w:rsidRPr="0089794E">
        <w:rPr>
          <w:rFonts w:ascii="Arial" w:hAnsi="Arial" w:cs="Arial"/>
          <w:sz w:val="20"/>
          <w:szCs w:val="20"/>
          <w:lang w:val="en-GB"/>
        </w:rPr>
        <w:lastRenderedPageBreak/>
        <w:t>Tower 3, Marina Bay Financial Centre, Singapore 018982 for the attention of: Paul Landless.</w:t>
      </w:r>
      <w:r w:rsidRPr="0089794E">
        <w:rPr>
          <w:rFonts w:ascii="Arial" w:hAnsi="Arial" w:cs="Arial"/>
          <w:sz w:val="20"/>
          <w:szCs w:val="20"/>
          <w:lang w:val="en-GB"/>
        </w:rPr>
        <w:t xml:space="preserve"> The original hard copy can arrive after the submission deadline.</w:t>
      </w:r>
      <w:r w:rsidR="003E3285" w:rsidRPr="0089794E">
        <w:rPr>
          <w:rFonts w:ascii="Arial" w:hAnsi="Arial" w:cs="Arial"/>
          <w:sz w:val="20"/>
          <w:szCs w:val="20"/>
          <w:lang w:val="en-GB"/>
        </w:rPr>
        <w:t xml:space="preserve"> </w:t>
      </w:r>
      <w:r w:rsidR="003E3285" w:rsidRPr="0089794E">
        <w:rPr>
          <w:rFonts w:ascii="Arial" w:hAnsi="Arial" w:cs="Arial"/>
          <w:b/>
          <w:sz w:val="20"/>
          <w:szCs w:val="20"/>
        </w:rPr>
        <w:t>You do not need to</w:t>
      </w:r>
      <w:r w:rsidRPr="0089794E">
        <w:rPr>
          <w:rFonts w:ascii="Arial" w:hAnsi="Arial" w:cs="Arial"/>
          <w:b/>
          <w:sz w:val="20"/>
          <w:szCs w:val="20"/>
        </w:rPr>
        <w:t xml:space="preserve"> pay any fee to sign up to the Rates</w:t>
      </w:r>
      <w:r w:rsidR="003E3285" w:rsidRPr="0089794E">
        <w:rPr>
          <w:rFonts w:ascii="Arial" w:hAnsi="Arial" w:cs="Arial"/>
          <w:b/>
          <w:sz w:val="20"/>
          <w:szCs w:val="20"/>
        </w:rPr>
        <w:t>-MAA.</w:t>
      </w:r>
    </w:p>
    <w:p w:rsidR="0089794E" w:rsidRPr="0089794E" w:rsidRDefault="0089794E" w:rsidP="0089794E">
      <w:pPr>
        <w:pStyle w:val="Default"/>
        <w:jc w:val="both"/>
        <w:rPr>
          <w:rFonts w:ascii="Arial" w:hAnsi="Arial" w:cs="Arial"/>
          <w:sz w:val="20"/>
          <w:szCs w:val="20"/>
        </w:rPr>
      </w:pPr>
    </w:p>
    <w:p w:rsidR="0089794E" w:rsidRPr="0089794E" w:rsidRDefault="003E3285" w:rsidP="00DA5292">
      <w:pPr>
        <w:pStyle w:val="Default"/>
        <w:numPr>
          <w:ilvl w:val="0"/>
          <w:numId w:val="1"/>
        </w:numPr>
        <w:ind w:left="0" w:firstLine="0"/>
        <w:jc w:val="both"/>
        <w:rPr>
          <w:rFonts w:ascii="Arial" w:hAnsi="Arial" w:cs="Arial"/>
          <w:sz w:val="20"/>
          <w:szCs w:val="20"/>
        </w:rPr>
      </w:pPr>
      <w:r w:rsidRPr="0089794E">
        <w:rPr>
          <w:rFonts w:ascii="Arial" w:eastAsia="Times New Roman" w:hAnsi="Arial" w:cs="Arial"/>
          <w:color w:val="auto"/>
          <w:sz w:val="20"/>
          <w:szCs w:val="20"/>
        </w:rPr>
        <w:t xml:space="preserve">We would </w:t>
      </w:r>
      <w:r w:rsidR="00E63FA2" w:rsidRPr="0089794E">
        <w:rPr>
          <w:rFonts w:ascii="Arial" w:eastAsia="Times New Roman" w:hAnsi="Arial" w:cs="Arial"/>
          <w:color w:val="auto"/>
          <w:sz w:val="20"/>
          <w:szCs w:val="20"/>
        </w:rPr>
        <w:t xml:space="preserve">urge you to take action so that your outstanding affected transactions are transitioned smoothly. If you do not do so, the valuation and settlement of your outstanding affected transactions will be handled in accordance with the contractual fallbacks (for a description of how these operate, please refer to the SFEMC Explanatory Note at </w:t>
      </w:r>
      <w:hyperlink r:id="rId10" w:history="1">
        <w:r w:rsidR="00DA5292" w:rsidRPr="001D7D8B">
          <w:rPr>
            <w:rStyle w:val="Hyperlink"/>
            <w:rFonts w:ascii="Arial" w:eastAsia="Times New Roman" w:hAnsi="Arial" w:cs="Arial"/>
            <w:sz w:val="20"/>
            <w:szCs w:val="20"/>
          </w:rPr>
          <w:t>http://www.sfemc.org/pdf/SFEMC_Explanatory_Note_5_July.pdf</w:t>
        </w:r>
      </w:hyperlink>
      <w:r w:rsidR="00E63FA2" w:rsidRPr="0089794E">
        <w:rPr>
          <w:rFonts w:ascii="Arial" w:eastAsia="Times New Roman" w:hAnsi="Arial" w:cs="Arial"/>
          <w:color w:val="auto"/>
          <w:sz w:val="20"/>
          <w:szCs w:val="20"/>
        </w:rPr>
        <w:t xml:space="preserve">. These fallbacks </w:t>
      </w:r>
      <w:r w:rsidR="003C1F5F">
        <w:rPr>
          <w:rFonts w:ascii="Arial" w:eastAsia="Times New Roman" w:hAnsi="Arial" w:cs="Arial"/>
          <w:color w:val="auto"/>
          <w:sz w:val="20"/>
          <w:szCs w:val="20"/>
        </w:rPr>
        <w:t>may</w:t>
      </w:r>
      <w:r w:rsidR="00E63FA2" w:rsidRPr="0089794E">
        <w:rPr>
          <w:rFonts w:ascii="Arial" w:eastAsia="Times New Roman" w:hAnsi="Arial" w:cs="Arial"/>
          <w:color w:val="auto"/>
          <w:sz w:val="20"/>
          <w:szCs w:val="20"/>
        </w:rPr>
        <w:t xml:space="preserve"> result in a delay in the valuation and settlement of your transactions.</w:t>
      </w:r>
    </w:p>
    <w:p w:rsidR="0089794E" w:rsidRPr="0089794E" w:rsidRDefault="0089794E" w:rsidP="0089794E">
      <w:pPr>
        <w:pStyle w:val="Default"/>
        <w:jc w:val="both"/>
        <w:rPr>
          <w:rFonts w:ascii="Arial" w:hAnsi="Arial" w:cs="Arial"/>
          <w:sz w:val="20"/>
          <w:szCs w:val="20"/>
        </w:rPr>
      </w:pPr>
    </w:p>
    <w:p w:rsidR="00E63FA2" w:rsidRPr="0089794E" w:rsidRDefault="0089794E" w:rsidP="0089794E">
      <w:pPr>
        <w:pStyle w:val="Default"/>
        <w:numPr>
          <w:ilvl w:val="0"/>
          <w:numId w:val="1"/>
        </w:numPr>
        <w:ind w:left="0" w:firstLine="0"/>
        <w:jc w:val="both"/>
        <w:rPr>
          <w:rFonts w:ascii="Arial" w:hAnsi="Arial" w:cs="Arial"/>
          <w:sz w:val="20"/>
          <w:szCs w:val="20"/>
        </w:rPr>
      </w:pPr>
      <w:r w:rsidRPr="0089794E">
        <w:rPr>
          <w:rFonts w:ascii="Arial" w:hAnsi="Arial" w:cs="Arial"/>
          <w:sz w:val="20"/>
          <w:szCs w:val="20"/>
        </w:rPr>
        <w:t xml:space="preserve">ISDA will be holding a public webinar on the Rates-MAA on </w:t>
      </w:r>
      <w:r w:rsidR="0071258A">
        <w:rPr>
          <w:rFonts w:ascii="Arial" w:hAnsi="Arial" w:cs="Arial"/>
          <w:sz w:val="20"/>
          <w:szCs w:val="20"/>
        </w:rPr>
        <w:t>Thursday, September 12</w:t>
      </w:r>
      <w:r w:rsidRPr="0089794E">
        <w:rPr>
          <w:rFonts w:ascii="Arial" w:hAnsi="Arial" w:cs="Arial"/>
          <w:sz w:val="20"/>
          <w:szCs w:val="20"/>
        </w:rPr>
        <w:t xml:space="preserve"> at </w:t>
      </w:r>
      <w:r w:rsidR="0071258A">
        <w:rPr>
          <w:rFonts w:ascii="Arial" w:hAnsi="Arial" w:cs="Arial"/>
          <w:sz w:val="20"/>
          <w:szCs w:val="20"/>
        </w:rPr>
        <w:t>4 pm</w:t>
      </w:r>
      <w:r w:rsidRPr="0089794E">
        <w:rPr>
          <w:rFonts w:ascii="Arial" w:hAnsi="Arial" w:cs="Arial"/>
          <w:sz w:val="20"/>
          <w:szCs w:val="20"/>
        </w:rPr>
        <w:t>. Please refer to the attached notice for more details.  In the meantime, i</w:t>
      </w:r>
      <w:r w:rsidR="00E63FA2" w:rsidRPr="0089794E">
        <w:rPr>
          <w:rFonts w:ascii="Arial" w:eastAsia="Times New Roman" w:hAnsi="Arial" w:cs="Arial"/>
          <w:color w:val="auto"/>
          <w:sz w:val="20"/>
          <w:szCs w:val="20"/>
        </w:rPr>
        <w:t>f you have any questions, please contact [ ].</w:t>
      </w:r>
    </w:p>
    <w:p w:rsidR="0089794E" w:rsidRPr="0089794E" w:rsidRDefault="0089794E" w:rsidP="0089794E">
      <w:pPr>
        <w:pStyle w:val="Default"/>
        <w:jc w:val="both"/>
        <w:rPr>
          <w:rFonts w:ascii="Arial" w:hAnsi="Arial" w:cs="Arial"/>
          <w:sz w:val="20"/>
          <w:szCs w:val="20"/>
        </w:rPr>
      </w:pPr>
    </w:p>
    <w:p w:rsidR="00737D98" w:rsidRPr="0089794E" w:rsidRDefault="00861DBB" w:rsidP="0089794E">
      <w:pPr>
        <w:spacing w:after="0" w:line="240" w:lineRule="auto"/>
        <w:jc w:val="both"/>
        <w:rPr>
          <w:rFonts w:ascii="Arial" w:hAnsi="Arial" w:cs="Arial"/>
          <w:sz w:val="20"/>
          <w:szCs w:val="20"/>
        </w:rPr>
      </w:pPr>
      <w:r w:rsidRPr="0089794E">
        <w:rPr>
          <w:rFonts w:ascii="Arial" w:hAnsi="Arial" w:cs="Arial"/>
          <w:sz w:val="20"/>
          <w:szCs w:val="20"/>
        </w:rPr>
        <w:t>Yours faithfully</w:t>
      </w:r>
    </w:p>
    <w:p w:rsidR="00D64739" w:rsidRDefault="00D64739">
      <w:pPr>
        <w:rPr>
          <w:rFonts w:ascii="Arial" w:hAnsi="Arial" w:cs="Arial"/>
          <w:sz w:val="20"/>
          <w:szCs w:val="20"/>
        </w:rPr>
      </w:pPr>
      <w:r>
        <w:rPr>
          <w:rFonts w:ascii="Arial" w:hAnsi="Arial" w:cs="Arial"/>
          <w:sz w:val="20"/>
          <w:szCs w:val="20"/>
        </w:rPr>
        <w:br w:type="page"/>
      </w:r>
    </w:p>
    <w:tbl>
      <w:tblPr>
        <w:tblW w:w="9150" w:type="dxa"/>
        <w:jc w:val="center"/>
        <w:tblCellMar>
          <w:left w:w="0" w:type="dxa"/>
          <w:right w:w="0" w:type="dxa"/>
        </w:tblCellMar>
        <w:tblLook w:val="04A0"/>
      </w:tblPr>
      <w:tblGrid>
        <w:gridCol w:w="9150"/>
      </w:tblGrid>
      <w:tr w:rsidR="00D64739" w:rsidTr="00D64739">
        <w:trPr>
          <w:jc w:val="center"/>
        </w:trPr>
        <w:tc>
          <w:tcPr>
            <w:tcW w:w="0" w:type="auto"/>
            <w:shd w:val="clear" w:color="auto" w:fill="FFFFFF"/>
            <w:tcMar>
              <w:top w:w="120" w:type="dxa"/>
              <w:left w:w="120" w:type="dxa"/>
              <w:bottom w:w="120" w:type="dxa"/>
              <w:right w:w="120" w:type="dxa"/>
            </w:tcMar>
            <w:vAlign w:val="center"/>
            <w:hideMark/>
          </w:tcPr>
          <w:p w:rsidR="00D64739" w:rsidRDefault="00D64739">
            <w:pPr>
              <w:pStyle w:val="NormalWeb"/>
              <w:jc w:val="center"/>
            </w:pPr>
            <w:r>
              <w:rPr>
                <w:noProof/>
                <w:lang w:val="en-GB" w:eastAsia="en-GB"/>
              </w:rPr>
              <w:lastRenderedPageBreak/>
              <w:drawing>
                <wp:inline distT="0" distB="0" distL="0" distR="0">
                  <wp:extent cx="1733550" cy="428625"/>
                  <wp:effectExtent l="0" t="0" r="0" b="9525"/>
                  <wp:docPr id="1" name="Picture 1" descr="http://isda.informz.net/isda/data/images/isd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da.informz.net/isda/data/images/isdalogo.jpg"/>
                          <pic:cNvPicPr>
                            <a:picLocks noChangeAspect="1" noChangeArrowheads="1"/>
                          </pic:cNvPicPr>
                        </pic:nvPicPr>
                        <pic:blipFill>
                          <a:blip r:embed="rId11" r:link="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428625"/>
                          </a:xfrm>
                          <a:prstGeom prst="rect">
                            <a:avLst/>
                          </a:prstGeom>
                          <a:noFill/>
                          <a:ln>
                            <a:noFill/>
                          </a:ln>
                        </pic:spPr>
                      </pic:pic>
                    </a:graphicData>
                  </a:graphic>
                </wp:inline>
              </w:drawing>
            </w:r>
            <w:r>
              <w:t xml:space="preserve">              </w:t>
            </w:r>
            <w:r>
              <w:rPr>
                <w:rFonts w:ascii="Calibri" w:hAnsi="Calibri" w:cs="Calibri"/>
                <w:color w:val="1F497D"/>
                <w:sz w:val="22"/>
                <w:szCs w:val="22"/>
              </w:rPr>
              <w:t> </w:t>
            </w:r>
          </w:p>
        </w:tc>
      </w:tr>
      <w:tr w:rsidR="00D64739" w:rsidTr="00D64739">
        <w:trPr>
          <w:jc w:val="center"/>
        </w:trPr>
        <w:tc>
          <w:tcPr>
            <w:tcW w:w="0" w:type="auto"/>
            <w:shd w:val="clear" w:color="auto" w:fill="87CEFA"/>
            <w:tcMar>
              <w:top w:w="120" w:type="dxa"/>
              <w:left w:w="120" w:type="dxa"/>
              <w:bottom w:w="120" w:type="dxa"/>
              <w:right w:w="120" w:type="dxa"/>
            </w:tcMar>
            <w:vAlign w:val="center"/>
            <w:hideMark/>
          </w:tcPr>
          <w:p w:rsidR="00D64739" w:rsidRDefault="00D64739">
            <w:pPr>
              <w:jc w:val="center"/>
              <w:rPr>
                <w:rFonts w:ascii="Calibri" w:hAnsi="Calibri" w:cs="Calibri"/>
                <w:b/>
                <w:bCs/>
              </w:rPr>
            </w:pPr>
            <w:r>
              <w:rPr>
                <w:rFonts w:ascii="Arial" w:hAnsi="Arial" w:cs="Arial"/>
                <w:b/>
                <w:bCs/>
                <w:color w:val="000000"/>
              </w:rPr>
              <w:t>2013 Multilateral Amendment Agreement for</w:t>
            </w:r>
            <w:r>
              <w:rPr>
                <w:rFonts w:ascii="Arial" w:hAnsi="Arial" w:cs="Arial"/>
                <w:b/>
                <w:bCs/>
                <w:color w:val="1F497D"/>
              </w:rPr>
              <w:t xml:space="preserve"> </w:t>
            </w:r>
            <w:r>
              <w:rPr>
                <w:rFonts w:ascii="Arial" w:hAnsi="Arial" w:cs="Arial"/>
                <w:b/>
                <w:bCs/>
                <w:color w:val="000000"/>
              </w:rPr>
              <w:t>Certain Rate Swap and Other Transactions (“Rates-MAA”)</w:t>
            </w:r>
          </w:p>
          <w:p w:rsidR="00D64739" w:rsidRDefault="00D64739" w:rsidP="003C1F5F">
            <w:pPr>
              <w:pStyle w:val="NormalWeb"/>
              <w:jc w:val="center"/>
            </w:pPr>
            <w:r>
              <w:rPr>
                <w:rStyle w:val="Strong"/>
                <w:rFonts w:ascii="Arial" w:hAnsi="Arial" w:cs="Arial"/>
              </w:rPr>
              <w:t xml:space="preserve">Public Webinar on </w:t>
            </w:r>
            <w:r w:rsidR="003C1F5F">
              <w:rPr>
                <w:rStyle w:val="Strong"/>
                <w:rFonts w:ascii="Arial" w:hAnsi="Arial" w:cs="Arial"/>
              </w:rPr>
              <w:t>Thursday</w:t>
            </w:r>
            <w:r>
              <w:rPr>
                <w:rStyle w:val="Strong"/>
                <w:rFonts w:ascii="Arial" w:hAnsi="Arial" w:cs="Arial"/>
              </w:rPr>
              <w:t xml:space="preserve">, </w:t>
            </w:r>
            <w:r w:rsidR="003C1F5F">
              <w:rPr>
                <w:rStyle w:val="Strong"/>
                <w:rFonts w:ascii="Arial" w:hAnsi="Arial" w:cs="Arial"/>
              </w:rPr>
              <w:t>September 12</w:t>
            </w:r>
            <w:r>
              <w:rPr>
                <w:rStyle w:val="Strong"/>
                <w:rFonts w:ascii="Arial" w:hAnsi="Arial" w:cs="Arial"/>
              </w:rPr>
              <w:t xml:space="preserve">, at </w:t>
            </w:r>
            <w:r w:rsidR="003C1F5F">
              <w:rPr>
                <w:rStyle w:val="Strong"/>
                <w:rFonts w:ascii="Arial" w:hAnsi="Arial" w:cs="Arial"/>
              </w:rPr>
              <w:t>4 pm</w:t>
            </w:r>
            <w:r>
              <w:rPr>
                <w:rStyle w:val="Strong"/>
                <w:rFonts w:ascii="Arial" w:hAnsi="Arial" w:cs="Arial"/>
              </w:rPr>
              <w:t xml:space="preserve"> Singapore time</w:t>
            </w:r>
          </w:p>
        </w:tc>
      </w:tr>
      <w:tr w:rsidR="00D64739" w:rsidTr="00D64739">
        <w:trPr>
          <w:jc w:val="center"/>
        </w:trPr>
        <w:tc>
          <w:tcPr>
            <w:tcW w:w="0" w:type="auto"/>
            <w:shd w:val="clear" w:color="auto" w:fill="EDEDED"/>
            <w:tcMar>
              <w:top w:w="120" w:type="dxa"/>
              <w:left w:w="120" w:type="dxa"/>
              <w:bottom w:w="120" w:type="dxa"/>
              <w:right w:w="120" w:type="dxa"/>
            </w:tcMar>
            <w:vAlign w:val="center"/>
            <w:hideMark/>
          </w:tcPr>
          <w:p w:rsidR="00D64739" w:rsidRDefault="00D64739">
            <w:pPr>
              <w:pStyle w:val="NormalWeb"/>
              <w:rPr>
                <w:rFonts w:ascii="Arial" w:hAnsi="Arial" w:cs="Arial"/>
                <w:color w:val="000000"/>
              </w:rPr>
            </w:pPr>
            <w:r>
              <w:rPr>
                <w:rFonts w:ascii="Arial" w:hAnsi="Arial" w:cs="Arial"/>
                <w:color w:val="000000"/>
              </w:rPr>
              <w:t xml:space="preserve">Join ISDA for this public webinar on what buy-side and corporate customers need to know about the Rates-MAA. </w:t>
            </w:r>
            <w:r>
              <w:rPr>
                <w:rFonts w:ascii="Arial" w:hAnsi="Arial" w:cs="Arial"/>
                <w:color w:val="000000"/>
                <w:u w:val="single"/>
              </w:rPr>
              <w:t>This webinar is open to non-ISDA members</w:t>
            </w:r>
            <w:r>
              <w:rPr>
                <w:rFonts w:ascii="Arial" w:hAnsi="Arial" w:cs="Arial"/>
                <w:color w:val="000000"/>
              </w:rPr>
              <w:t>.</w:t>
            </w:r>
          </w:p>
          <w:p w:rsidR="00D64739" w:rsidRDefault="00D64739">
            <w:pPr>
              <w:pStyle w:val="NormalWeb"/>
              <w:jc w:val="both"/>
              <w:rPr>
                <w:rFonts w:ascii="Arial" w:hAnsi="Arial" w:cs="Arial"/>
                <w:color w:val="000000"/>
              </w:rPr>
            </w:pPr>
            <w:r>
              <w:rPr>
                <w:rFonts w:ascii="Arial" w:hAnsi="Arial" w:cs="Arial"/>
                <w:color w:val="000000"/>
              </w:rPr>
              <w:t>The 60-minute webinar will feature information on the following:</w:t>
            </w:r>
          </w:p>
          <w:p w:rsidR="00D64739" w:rsidRDefault="00D64739">
            <w:pPr>
              <w:pStyle w:val="NormalWeb"/>
              <w:ind w:left="720" w:hanging="360"/>
              <w:jc w:val="both"/>
              <w:rPr>
                <w:rFonts w:ascii="Symbol" w:hAnsi="Symbol"/>
                <w:color w:val="000000"/>
              </w:rPr>
            </w:pPr>
            <w:r>
              <w:rPr>
                <w:rFonts w:ascii="Symbol" w:hAnsi="Symbol"/>
                <w:color w:val="000000"/>
              </w:rPr>
              <w:t></w:t>
            </w:r>
            <w:r>
              <w:rPr>
                <w:color w:val="000000"/>
                <w:sz w:val="14"/>
                <w:szCs w:val="14"/>
              </w:rPr>
              <w:t>       </w:t>
            </w:r>
            <w:r>
              <w:rPr>
                <w:rFonts w:ascii="Arial" w:hAnsi="Arial" w:cs="Arial"/>
                <w:color w:val="000000"/>
              </w:rPr>
              <w:t>What is happening with the ABS rates benchmarks and why;</w:t>
            </w:r>
            <w:r>
              <w:rPr>
                <w:rFonts w:ascii="Symbol" w:hAnsi="Symbol"/>
                <w:color w:val="000000"/>
              </w:rPr>
              <w:t></w:t>
            </w:r>
          </w:p>
          <w:p w:rsidR="00D64739" w:rsidRDefault="00D64739">
            <w:pPr>
              <w:pStyle w:val="NormalWeb"/>
              <w:ind w:left="720" w:hanging="360"/>
              <w:jc w:val="both"/>
              <w:rPr>
                <w:rFonts w:ascii="Arial" w:hAnsi="Arial" w:cs="Arial"/>
                <w:color w:val="000000"/>
              </w:rPr>
            </w:pPr>
            <w:r>
              <w:rPr>
                <w:rFonts w:ascii="Symbol" w:hAnsi="Symbol"/>
                <w:color w:val="000000"/>
              </w:rPr>
              <w:t></w:t>
            </w:r>
            <w:r>
              <w:rPr>
                <w:color w:val="000000"/>
                <w:sz w:val="14"/>
                <w:szCs w:val="14"/>
              </w:rPr>
              <w:t>       </w:t>
            </w:r>
            <w:r>
              <w:rPr>
                <w:rFonts w:ascii="Arial" w:hAnsi="Arial" w:cs="Arial"/>
                <w:color w:val="000000"/>
              </w:rPr>
              <w:t>How this affects you;</w:t>
            </w:r>
          </w:p>
          <w:p w:rsidR="00D64739" w:rsidRDefault="00D64739">
            <w:pPr>
              <w:pStyle w:val="NormalWeb"/>
              <w:ind w:left="720" w:hanging="360"/>
              <w:jc w:val="both"/>
              <w:rPr>
                <w:rFonts w:ascii="Arial" w:hAnsi="Arial" w:cs="Arial"/>
                <w:color w:val="000000"/>
              </w:rPr>
            </w:pPr>
            <w:r>
              <w:rPr>
                <w:rFonts w:ascii="Symbol" w:hAnsi="Symbol"/>
                <w:color w:val="000000"/>
              </w:rPr>
              <w:t></w:t>
            </w:r>
            <w:r>
              <w:rPr>
                <w:color w:val="000000"/>
                <w:sz w:val="14"/>
                <w:szCs w:val="14"/>
              </w:rPr>
              <w:t>       </w:t>
            </w:r>
            <w:r>
              <w:rPr>
                <w:rFonts w:ascii="Arial" w:hAnsi="Arial" w:cs="Arial"/>
                <w:color w:val="000000"/>
              </w:rPr>
              <w:t>What does the Rates-MAA do;</w:t>
            </w:r>
          </w:p>
          <w:p w:rsidR="00D64739" w:rsidRDefault="00D64739">
            <w:pPr>
              <w:pStyle w:val="NormalWeb"/>
              <w:ind w:left="720" w:hanging="360"/>
              <w:jc w:val="both"/>
              <w:rPr>
                <w:rFonts w:ascii="Arial" w:hAnsi="Arial" w:cs="Arial"/>
                <w:color w:val="000000"/>
              </w:rPr>
            </w:pPr>
            <w:r>
              <w:rPr>
                <w:rFonts w:ascii="Symbol" w:hAnsi="Symbol"/>
                <w:color w:val="000000"/>
              </w:rPr>
              <w:t></w:t>
            </w:r>
            <w:r>
              <w:rPr>
                <w:color w:val="000000"/>
                <w:sz w:val="14"/>
                <w:szCs w:val="14"/>
              </w:rPr>
              <w:t>       </w:t>
            </w:r>
            <w:r>
              <w:rPr>
                <w:rFonts w:ascii="Arial" w:hAnsi="Arial" w:cs="Arial"/>
                <w:color w:val="000000"/>
              </w:rPr>
              <w:t xml:space="preserve">What you need to do to sign up to the Rates-MAA; </w:t>
            </w:r>
          </w:p>
          <w:p w:rsidR="00D64739" w:rsidRDefault="00D64739">
            <w:pPr>
              <w:pStyle w:val="NormalWeb"/>
              <w:ind w:left="720" w:hanging="360"/>
              <w:jc w:val="both"/>
              <w:rPr>
                <w:rFonts w:ascii="Arial" w:hAnsi="Arial" w:cs="Arial"/>
                <w:color w:val="000000"/>
              </w:rPr>
            </w:pPr>
            <w:r>
              <w:rPr>
                <w:rFonts w:ascii="Symbol" w:hAnsi="Symbol"/>
                <w:color w:val="000000"/>
              </w:rPr>
              <w:t></w:t>
            </w:r>
            <w:r>
              <w:rPr>
                <w:color w:val="000000"/>
                <w:sz w:val="14"/>
                <w:szCs w:val="14"/>
              </w:rPr>
              <w:t>        </w:t>
            </w:r>
            <w:r>
              <w:rPr>
                <w:rFonts w:ascii="Arial" w:hAnsi="Arial" w:cs="Arial"/>
                <w:color w:val="000000"/>
              </w:rPr>
              <w:t>Why signing-up by September 26 is so important;</w:t>
            </w:r>
          </w:p>
          <w:p w:rsidR="00D64739" w:rsidRDefault="00D64739">
            <w:pPr>
              <w:pStyle w:val="NormalWeb"/>
              <w:ind w:left="720" w:hanging="360"/>
              <w:jc w:val="both"/>
              <w:rPr>
                <w:rFonts w:ascii="Arial" w:hAnsi="Arial" w:cs="Arial"/>
                <w:color w:val="000000"/>
              </w:rPr>
            </w:pPr>
            <w:r>
              <w:rPr>
                <w:rFonts w:ascii="Symbol" w:hAnsi="Symbol"/>
                <w:color w:val="000000"/>
              </w:rPr>
              <w:t></w:t>
            </w:r>
            <w:r>
              <w:rPr>
                <w:color w:val="000000"/>
                <w:sz w:val="14"/>
                <w:szCs w:val="14"/>
              </w:rPr>
              <w:t>       </w:t>
            </w:r>
            <w:r>
              <w:rPr>
                <w:rFonts w:ascii="Arial" w:hAnsi="Arial" w:cs="Arial"/>
                <w:color w:val="000000"/>
              </w:rPr>
              <w:t>What happens if you do not sign up to the Rates-MAA by September 26.</w:t>
            </w:r>
          </w:p>
          <w:p w:rsidR="00D64739" w:rsidRDefault="00D64739">
            <w:pPr>
              <w:pStyle w:val="NormalWeb"/>
              <w:jc w:val="both"/>
              <w:rPr>
                <w:rFonts w:ascii="Arial" w:hAnsi="Arial" w:cs="Arial"/>
                <w:color w:val="000000"/>
              </w:rPr>
            </w:pPr>
            <w:r>
              <w:rPr>
                <w:rFonts w:ascii="Arial" w:hAnsi="Arial" w:cs="Arial"/>
                <w:color w:val="000000"/>
              </w:rPr>
              <w:t>You will be able to raise questions during the webinar.</w:t>
            </w:r>
          </w:p>
          <w:p w:rsidR="00D64739" w:rsidRDefault="00D64739">
            <w:pPr>
              <w:pStyle w:val="NormalWeb"/>
              <w:jc w:val="both"/>
              <w:rPr>
                <w:rFonts w:ascii="Arial" w:hAnsi="Arial" w:cs="Arial"/>
                <w:color w:val="000000"/>
              </w:rPr>
            </w:pPr>
            <w:r>
              <w:rPr>
                <w:rFonts w:ascii="Arial" w:hAnsi="Arial" w:cs="Arial"/>
                <w:color w:val="000000"/>
              </w:rPr>
              <w:t>Speakers on the webinar include:</w:t>
            </w:r>
          </w:p>
          <w:p w:rsidR="00D64739" w:rsidRDefault="00D64739">
            <w:pPr>
              <w:pStyle w:val="NormalWeb"/>
              <w:jc w:val="both"/>
              <w:rPr>
                <w:rFonts w:ascii="Arial" w:hAnsi="Arial" w:cs="Arial"/>
                <w:color w:val="000000"/>
              </w:rPr>
            </w:pPr>
            <w:r>
              <w:rPr>
                <w:rStyle w:val="Strong"/>
                <w:rFonts w:ascii="Arial" w:hAnsi="Arial" w:cs="Arial"/>
                <w:color w:val="000000"/>
              </w:rPr>
              <w:t>Jacqueline Low</w:t>
            </w:r>
            <w:r>
              <w:rPr>
                <w:rFonts w:ascii="Arial" w:hAnsi="Arial" w:cs="Arial"/>
                <w:color w:val="000000"/>
              </w:rPr>
              <w:t>, Senior Counsel, Asia, ISDA</w:t>
            </w:r>
          </w:p>
          <w:p w:rsidR="00D64739" w:rsidRDefault="00D64739">
            <w:pPr>
              <w:pStyle w:val="NormalWeb"/>
              <w:jc w:val="both"/>
              <w:rPr>
                <w:rFonts w:ascii="Arial" w:hAnsi="Arial" w:cs="Arial"/>
                <w:color w:val="000000"/>
              </w:rPr>
            </w:pPr>
            <w:r>
              <w:rPr>
                <w:rFonts w:ascii="Arial" w:hAnsi="Arial" w:cs="Arial"/>
                <w:color w:val="000000"/>
              </w:rPr>
              <w:t>Registration is open now. A confirmation notice with webinar login details will be sent to registrants before the event. </w:t>
            </w:r>
          </w:p>
          <w:p w:rsidR="00D64739" w:rsidRDefault="00D64739">
            <w:pPr>
              <w:pStyle w:val="NormalWeb"/>
              <w:jc w:val="both"/>
              <w:rPr>
                <w:rFonts w:ascii="Arial" w:hAnsi="Arial" w:cs="Arial"/>
                <w:color w:val="000000"/>
              </w:rPr>
            </w:pPr>
            <w:r>
              <w:rPr>
                <w:rFonts w:ascii="Arial" w:hAnsi="Arial" w:cs="Arial"/>
                <w:color w:val="000000"/>
              </w:rPr>
              <w:t>For those who are unable to join the webinar, a recording of the webinar will be made available on the ISDA website.</w:t>
            </w:r>
          </w:p>
          <w:tbl>
            <w:tblPr>
              <w:tblW w:w="3750" w:type="dxa"/>
              <w:jc w:val="center"/>
              <w:shd w:val="clear" w:color="auto" w:fill="DCDCDC"/>
              <w:tblCellMar>
                <w:left w:w="0" w:type="dxa"/>
                <w:right w:w="0" w:type="dxa"/>
              </w:tblCellMar>
              <w:tblLook w:val="04A0"/>
            </w:tblPr>
            <w:tblGrid>
              <w:gridCol w:w="3750"/>
            </w:tblGrid>
            <w:tr w:rsidR="00D64739">
              <w:trPr>
                <w:jc w:val="center"/>
              </w:trPr>
              <w:tc>
                <w:tcPr>
                  <w:tcW w:w="0" w:type="auto"/>
                  <w:shd w:val="clear" w:color="auto" w:fill="A9A9A9"/>
                  <w:tcMar>
                    <w:top w:w="120" w:type="dxa"/>
                    <w:left w:w="120" w:type="dxa"/>
                    <w:bottom w:w="120" w:type="dxa"/>
                    <w:right w:w="120" w:type="dxa"/>
                  </w:tcMar>
                  <w:vAlign w:val="center"/>
                  <w:hideMark/>
                </w:tcPr>
                <w:p w:rsidR="00D64739" w:rsidRDefault="00D64739">
                  <w:pPr>
                    <w:pStyle w:val="NormalWeb"/>
                    <w:spacing w:before="0" w:beforeAutospacing="0" w:after="0" w:afterAutospacing="0"/>
                    <w:jc w:val="center"/>
                    <w:rPr>
                      <w:rStyle w:val="Strong"/>
                      <w:rFonts w:ascii="Arial" w:hAnsi="Arial" w:cs="Arial"/>
                      <w:b w:val="0"/>
                      <w:bCs w:val="0"/>
                      <w:color w:val="000000"/>
                    </w:rPr>
                  </w:pPr>
                  <w:r>
                    <w:rPr>
                      <w:rStyle w:val="Strong"/>
                      <w:rFonts w:ascii="Arial" w:hAnsi="Arial" w:cs="Arial"/>
                      <w:color w:val="FFFFFF"/>
                    </w:rPr>
                    <w:t>Sign up to join the webinar</w:t>
                  </w:r>
                  <w:r>
                    <w:rPr>
                      <w:rStyle w:val="Strong"/>
                      <w:rFonts w:ascii="Arial" w:hAnsi="Arial" w:cs="Arial"/>
                      <w:b w:val="0"/>
                      <w:bCs w:val="0"/>
                      <w:color w:val="000000"/>
                    </w:rPr>
                    <w:t xml:space="preserve"> </w:t>
                  </w:r>
                </w:p>
                <w:p w:rsidR="00D64739" w:rsidRDefault="00D64739">
                  <w:pPr>
                    <w:pStyle w:val="NormalWeb"/>
                    <w:spacing w:before="0" w:beforeAutospacing="0" w:after="0" w:afterAutospacing="0"/>
                    <w:jc w:val="center"/>
                  </w:pPr>
                  <w:r>
                    <w:rPr>
                      <w:rFonts w:ascii="Arial" w:hAnsi="Arial" w:cs="Arial"/>
                    </w:rPr>
                    <w:t xml:space="preserve">RSVP to </w:t>
                  </w:r>
                  <w:r>
                    <w:rPr>
                      <w:rStyle w:val="Emphasis"/>
                      <w:rFonts w:ascii="Arial" w:hAnsi="Arial" w:cs="Arial"/>
                      <w:color w:val="000000"/>
                    </w:rPr>
                    <w:t> </w:t>
                  </w:r>
                  <w:hyperlink r:id="rId13" w:history="1">
                    <w:r>
                      <w:rPr>
                        <w:rStyle w:val="Hyperlink"/>
                        <w:rFonts w:ascii="Arial" w:hAnsi="Arial" w:cs="Arial"/>
                      </w:rPr>
                      <w:t>ISDAAP@isda.org</w:t>
                    </w:r>
                  </w:hyperlink>
                </w:p>
              </w:tc>
            </w:tr>
          </w:tbl>
          <w:p w:rsidR="00D64739" w:rsidRDefault="00D64739">
            <w:pPr>
              <w:pStyle w:val="NormalWeb"/>
              <w:jc w:val="center"/>
            </w:pPr>
            <w:r>
              <w:rPr>
                <w:rStyle w:val="Emphasis"/>
                <w:rFonts w:ascii="Arial" w:hAnsi="Arial" w:cs="Arial"/>
                <w:color w:val="000000"/>
                <w:sz w:val="20"/>
                <w:szCs w:val="20"/>
              </w:rPr>
              <w:t xml:space="preserve">For additional information, contact </w:t>
            </w:r>
            <w:hyperlink r:id="rId14" w:history="1">
              <w:r>
                <w:rPr>
                  <w:rStyle w:val="Hyperlink"/>
                  <w:rFonts w:ascii="Arial" w:hAnsi="Arial" w:cs="Arial"/>
                  <w:sz w:val="20"/>
                  <w:szCs w:val="20"/>
                </w:rPr>
                <w:t>ISDAAP@isda.org</w:t>
              </w:r>
            </w:hyperlink>
            <w:r>
              <w:rPr>
                <w:rStyle w:val="Emphasis"/>
                <w:rFonts w:ascii="Arial" w:hAnsi="Arial" w:cs="Arial"/>
                <w:color w:val="000000"/>
                <w:sz w:val="20"/>
                <w:szCs w:val="20"/>
              </w:rPr>
              <w:t>.</w:t>
            </w:r>
          </w:p>
        </w:tc>
      </w:tr>
    </w:tbl>
    <w:p w:rsidR="00AB2F84" w:rsidRPr="0089794E" w:rsidRDefault="00AB2F84" w:rsidP="0089794E">
      <w:pPr>
        <w:spacing w:after="0" w:line="240" w:lineRule="auto"/>
        <w:rPr>
          <w:rFonts w:ascii="Arial" w:hAnsi="Arial" w:cs="Arial"/>
          <w:sz w:val="20"/>
          <w:szCs w:val="20"/>
        </w:rPr>
      </w:pPr>
    </w:p>
    <w:sectPr w:rsidR="00AB2F84" w:rsidRPr="0089794E" w:rsidSect="00F30D8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D57" w:rsidRDefault="004A1D57" w:rsidP="00DB38A9">
      <w:pPr>
        <w:spacing w:after="0" w:line="240" w:lineRule="auto"/>
      </w:pPr>
      <w:r>
        <w:separator/>
      </w:r>
    </w:p>
  </w:endnote>
  <w:endnote w:type="continuationSeparator" w:id="0">
    <w:p w:rsidR="004A1D57" w:rsidRDefault="004A1D57" w:rsidP="00DB3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0"/>
        <w:szCs w:val="20"/>
      </w:rPr>
      <w:id w:val="-1245873935"/>
      <w:docPartObj>
        <w:docPartGallery w:val="Page Numbers (Bottom of Page)"/>
        <w:docPartUnique/>
      </w:docPartObj>
    </w:sdtPr>
    <w:sdtEndPr>
      <w:rPr>
        <w:noProof/>
      </w:rPr>
    </w:sdtEndPr>
    <w:sdtContent>
      <w:p w:rsidR="00001445" w:rsidRPr="00D34D4D" w:rsidRDefault="00C6694D">
        <w:pPr>
          <w:pStyle w:val="Footer"/>
          <w:jc w:val="right"/>
          <w:rPr>
            <w:rFonts w:ascii="Arial" w:hAnsi="Arial" w:cs="Arial"/>
            <w:sz w:val="20"/>
            <w:szCs w:val="20"/>
          </w:rPr>
        </w:pPr>
        <w:r w:rsidRPr="00D34D4D">
          <w:rPr>
            <w:rFonts w:ascii="Arial" w:hAnsi="Arial" w:cs="Arial"/>
            <w:sz w:val="20"/>
            <w:szCs w:val="20"/>
          </w:rPr>
          <w:fldChar w:fldCharType="begin"/>
        </w:r>
        <w:r w:rsidR="00AD5B71" w:rsidRPr="00D34D4D">
          <w:rPr>
            <w:rFonts w:ascii="Arial" w:hAnsi="Arial" w:cs="Arial"/>
            <w:sz w:val="20"/>
            <w:szCs w:val="20"/>
          </w:rPr>
          <w:instrText xml:space="preserve"> PAGE   \* MERGEFORMAT </w:instrText>
        </w:r>
        <w:r w:rsidRPr="00D34D4D">
          <w:rPr>
            <w:rFonts w:ascii="Arial" w:hAnsi="Arial" w:cs="Arial"/>
            <w:sz w:val="20"/>
            <w:szCs w:val="20"/>
          </w:rPr>
          <w:fldChar w:fldCharType="separate"/>
        </w:r>
        <w:r w:rsidR="005C4135">
          <w:rPr>
            <w:rFonts w:ascii="Arial" w:hAnsi="Arial" w:cs="Arial"/>
            <w:noProof/>
            <w:sz w:val="20"/>
            <w:szCs w:val="20"/>
          </w:rPr>
          <w:t>1</w:t>
        </w:r>
        <w:r w:rsidRPr="00D34D4D">
          <w:rPr>
            <w:rFonts w:ascii="Arial" w:hAnsi="Arial" w:cs="Arial"/>
            <w:noProof/>
            <w:sz w:val="20"/>
            <w:szCs w:val="20"/>
          </w:rPr>
          <w:fldChar w:fldCharType="end"/>
        </w:r>
      </w:p>
    </w:sdtContent>
  </w:sdt>
  <w:p w:rsidR="00001445" w:rsidRDefault="000014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D57" w:rsidRDefault="004A1D57" w:rsidP="00DB38A9">
      <w:pPr>
        <w:spacing w:after="0" w:line="240" w:lineRule="auto"/>
      </w:pPr>
      <w:r>
        <w:separator/>
      </w:r>
    </w:p>
  </w:footnote>
  <w:footnote w:type="continuationSeparator" w:id="0">
    <w:p w:rsidR="004A1D57" w:rsidRDefault="004A1D57" w:rsidP="00DB38A9">
      <w:pPr>
        <w:spacing w:after="0" w:line="240" w:lineRule="auto"/>
      </w:pPr>
      <w:r>
        <w:continuationSeparator/>
      </w:r>
    </w:p>
  </w:footnote>
  <w:footnote w:id="1">
    <w:p w:rsidR="005622D0" w:rsidRPr="0089794E" w:rsidRDefault="005622D0" w:rsidP="0089794E">
      <w:pPr>
        <w:pStyle w:val="FootnoteText"/>
        <w:jc w:val="both"/>
        <w:rPr>
          <w:rFonts w:ascii="Arial" w:hAnsi="Arial" w:cs="Arial"/>
          <w:sz w:val="16"/>
          <w:szCs w:val="16"/>
        </w:rPr>
      </w:pPr>
      <w:r w:rsidRPr="0089794E">
        <w:rPr>
          <w:rStyle w:val="FootnoteReference"/>
          <w:rFonts w:ascii="Arial" w:hAnsi="Arial" w:cs="Arial"/>
          <w:sz w:val="16"/>
          <w:szCs w:val="16"/>
        </w:rPr>
        <w:footnoteRef/>
      </w:r>
      <w:r w:rsidRPr="0089794E">
        <w:rPr>
          <w:rFonts w:ascii="Arial" w:hAnsi="Arial" w:cs="Arial"/>
          <w:sz w:val="16"/>
          <w:szCs w:val="16"/>
        </w:rPr>
        <w:t xml:space="preserve"> Please click for </w:t>
      </w:r>
      <w:hyperlink r:id="rId1" w:history="1">
        <w:r w:rsidRPr="0089794E">
          <w:rPr>
            <w:rStyle w:val="Hyperlink"/>
            <w:rFonts w:ascii="Arial" w:hAnsi="Arial" w:cs="Arial"/>
            <w:sz w:val="16"/>
            <w:szCs w:val="16"/>
          </w:rPr>
          <w:t xml:space="preserve">ABS </w:t>
        </w:r>
        <w:r w:rsidR="00B24EE0" w:rsidRPr="0089794E">
          <w:rPr>
            <w:rStyle w:val="Hyperlink"/>
            <w:rFonts w:ascii="Arial" w:hAnsi="Arial" w:cs="Arial"/>
            <w:sz w:val="16"/>
            <w:szCs w:val="16"/>
          </w:rPr>
          <w:t xml:space="preserve">and SFEMC </w:t>
        </w:r>
        <w:r w:rsidRPr="0089794E">
          <w:rPr>
            <w:rStyle w:val="Hyperlink"/>
            <w:rFonts w:ascii="Arial" w:hAnsi="Arial" w:cs="Arial"/>
            <w:sz w:val="16"/>
            <w:szCs w:val="16"/>
          </w:rPr>
          <w:t>press release</w:t>
        </w:r>
      </w:hyperlink>
      <w:r w:rsidRPr="0089794E">
        <w:rPr>
          <w:rFonts w:ascii="Arial" w:hAnsi="Arial" w:cs="Arial"/>
          <w:sz w:val="16"/>
          <w:szCs w:val="16"/>
        </w:rPr>
        <w:t xml:space="preserve">, </w:t>
      </w:r>
      <w:hyperlink r:id="rId2" w:history="1">
        <w:r w:rsidRPr="0089794E">
          <w:rPr>
            <w:rStyle w:val="Hyperlink"/>
            <w:rFonts w:ascii="Arial" w:hAnsi="Arial" w:cs="Arial"/>
            <w:sz w:val="16"/>
            <w:szCs w:val="16"/>
          </w:rPr>
          <w:t>SFEMC statement</w:t>
        </w:r>
      </w:hyperlink>
      <w:r w:rsidRPr="0089794E">
        <w:rPr>
          <w:rFonts w:ascii="Arial" w:hAnsi="Arial" w:cs="Arial"/>
          <w:sz w:val="16"/>
          <w:szCs w:val="16"/>
        </w:rPr>
        <w:t xml:space="preserve"> and </w:t>
      </w:r>
      <w:hyperlink r:id="rId3" w:history="1">
        <w:r w:rsidRPr="0089794E">
          <w:rPr>
            <w:rStyle w:val="Hyperlink"/>
            <w:rFonts w:ascii="Arial" w:hAnsi="Arial" w:cs="Arial"/>
            <w:sz w:val="16"/>
            <w:szCs w:val="16"/>
          </w:rPr>
          <w:t>related materials</w:t>
        </w:r>
      </w:hyperlink>
      <w:r w:rsidR="00B24EE0" w:rsidRPr="0089794E">
        <w:rPr>
          <w:rStyle w:val="Hyperlink"/>
          <w:rFonts w:ascii="Arial" w:hAnsi="Arial" w:cs="Arial"/>
          <w:color w:val="auto"/>
          <w:sz w:val="16"/>
          <w:szCs w:val="16"/>
          <w:u w:val="none"/>
        </w:rPr>
        <w:t>.</w:t>
      </w:r>
    </w:p>
  </w:footnote>
  <w:footnote w:id="2">
    <w:p w:rsidR="00A96D5B" w:rsidRPr="0089794E" w:rsidRDefault="00A96D5B" w:rsidP="0089794E">
      <w:pPr>
        <w:pStyle w:val="FootnoteText"/>
        <w:jc w:val="both"/>
        <w:rPr>
          <w:rFonts w:ascii="Arial" w:hAnsi="Arial" w:cs="Arial"/>
          <w:sz w:val="16"/>
          <w:szCs w:val="16"/>
        </w:rPr>
      </w:pPr>
      <w:r w:rsidRPr="0089794E">
        <w:rPr>
          <w:rStyle w:val="FootnoteReference"/>
          <w:rFonts w:ascii="Arial" w:hAnsi="Arial" w:cs="Arial"/>
          <w:sz w:val="16"/>
          <w:szCs w:val="16"/>
        </w:rPr>
        <w:footnoteRef/>
      </w:r>
      <w:r w:rsidRPr="0089794E">
        <w:rPr>
          <w:rFonts w:ascii="Arial" w:hAnsi="Arial" w:cs="Arial"/>
          <w:sz w:val="16"/>
          <w:szCs w:val="16"/>
        </w:rPr>
        <w:t xml:space="preserve"> This is on the premise that the deadline for signing up to the Rates-MAA will be </w:t>
      </w:r>
      <w:r w:rsidR="00883C83">
        <w:rPr>
          <w:rFonts w:ascii="Arial" w:hAnsi="Arial" w:cs="Arial"/>
          <w:sz w:val="16"/>
          <w:szCs w:val="16"/>
        </w:rPr>
        <w:t xml:space="preserve">26 </w:t>
      </w:r>
      <w:r w:rsidRPr="0089794E">
        <w:rPr>
          <w:rFonts w:ascii="Arial" w:hAnsi="Arial" w:cs="Arial"/>
          <w:sz w:val="16"/>
          <w:szCs w:val="16"/>
        </w:rPr>
        <w:t>Sep</w:t>
      </w:r>
      <w:r w:rsidR="00883C83">
        <w:rPr>
          <w:rFonts w:ascii="Arial" w:hAnsi="Arial" w:cs="Arial"/>
          <w:sz w:val="16"/>
          <w:szCs w:val="16"/>
        </w:rPr>
        <w:t>tember</w:t>
      </w:r>
      <w:r w:rsidRPr="0089794E">
        <w:rPr>
          <w:rFonts w:ascii="Arial" w:hAnsi="Arial" w:cs="Arial"/>
          <w:sz w:val="16"/>
          <w:szCs w:val="16"/>
        </w:rPr>
        <w:t xml:space="preserve"> 2013.</w:t>
      </w:r>
    </w:p>
  </w:footnote>
  <w:footnote w:id="3">
    <w:p w:rsidR="00613D39" w:rsidRPr="0089794E" w:rsidRDefault="00613D39" w:rsidP="0089794E">
      <w:pPr>
        <w:spacing w:after="0" w:line="240" w:lineRule="auto"/>
        <w:jc w:val="both"/>
        <w:rPr>
          <w:rFonts w:ascii="Arial" w:hAnsi="Arial" w:cs="Arial"/>
          <w:sz w:val="16"/>
          <w:szCs w:val="16"/>
        </w:rPr>
      </w:pPr>
      <w:r w:rsidRPr="0089794E">
        <w:rPr>
          <w:rStyle w:val="FootnoteReference"/>
          <w:rFonts w:ascii="Arial" w:hAnsi="Arial" w:cs="Arial"/>
          <w:sz w:val="16"/>
          <w:szCs w:val="16"/>
        </w:rPr>
        <w:footnoteRef/>
      </w:r>
      <w:r w:rsidRPr="0089794E">
        <w:rPr>
          <w:rFonts w:ascii="Arial" w:hAnsi="Arial" w:cs="Arial"/>
          <w:sz w:val="16"/>
          <w:szCs w:val="16"/>
        </w:rPr>
        <w:t xml:space="preserve"> Where for e.g. there is a stub period (say 2 weeks), instead of simply specifying “Linear Interpolation”, parties may specify “Linear Interpolation of the 1W and 1M rates”.  In this case, if the 1W rate is simply replaced with the linearly interpolated O/N and 1M rates, the above specification will lead to “double” interpolation.  Thus, in cases like this, the above specification will be disregarded and instead, the 2 weeks rate will be determined through linear interpolation of the O/N and 1M rates.</w:t>
      </w:r>
    </w:p>
  </w:footnote>
  <w:footnote w:id="4">
    <w:p w:rsidR="00613D39" w:rsidRPr="0089794E" w:rsidRDefault="00613D39" w:rsidP="0089794E">
      <w:pPr>
        <w:pStyle w:val="FootnoteText"/>
        <w:jc w:val="both"/>
        <w:rPr>
          <w:rFonts w:ascii="Arial" w:hAnsi="Arial" w:cs="Arial"/>
          <w:sz w:val="16"/>
          <w:szCs w:val="16"/>
        </w:rPr>
      </w:pPr>
      <w:r w:rsidRPr="0089794E">
        <w:rPr>
          <w:rStyle w:val="FootnoteReference"/>
          <w:rFonts w:ascii="Arial" w:hAnsi="Arial" w:cs="Arial"/>
          <w:sz w:val="16"/>
          <w:szCs w:val="16"/>
        </w:rPr>
        <w:footnoteRef/>
      </w:r>
      <w:r w:rsidRPr="0089794E">
        <w:rPr>
          <w:rFonts w:ascii="Arial" w:hAnsi="Arial" w:cs="Arial"/>
          <w:sz w:val="16"/>
          <w:szCs w:val="16"/>
        </w:rPr>
        <w:t xml:space="preserve"> Please refer to footnote 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01B" w:rsidRDefault="0019201B" w:rsidP="0019201B">
    <w:pPr>
      <w:pStyle w:val="Header"/>
      <w:jc w:val="center"/>
      <w:rPr>
        <w:rFonts w:ascii="Arial" w:hAnsi="Arial" w:cs="Arial"/>
        <w:sz w:val="18"/>
        <w:szCs w:val="18"/>
      </w:rPr>
    </w:pPr>
    <w:r>
      <w:rPr>
        <w:rFonts w:ascii="Arial" w:hAnsi="Arial" w:cs="Arial"/>
        <w:sz w:val="18"/>
        <w:szCs w:val="18"/>
      </w:rPr>
      <w:t>SUGGESTED FORM OF</w:t>
    </w:r>
    <w:r w:rsidRPr="00001445">
      <w:rPr>
        <w:rFonts w:ascii="Arial" w:hAnsi="Arial" w:cs="Arial"/>
        <w:sz w:val="18"/>
        <w:szCs w:val="18"/>
      </w:rPr>
      <w:t xml:space="preserve"> P</w:t>
    </w:r>
    <w:r>
      <w:rPr>
        <w:rFonts w:ascii="Arial" w:hAnsi="Arial" w:cs="Arial"/>
        <w:sz w:val="18"/>
        <w:szCs w:val="18"/>
      </w:rPr>
      <w:t>OST</w:t>
    </w:r>
    <w:r w:rsidRPr="00001445">
      <w:rPr>
        <w:rFonts w:ascii="Arial" w:hAnsi="Arial" w:cs="Arial"/>
        <w:sz w:val="18"/>
        <w:szCs w:val="18"/>
      </w:rPr>
      <w:t xml:space="preserve">-PUBLICATION LETTER TO </w:t>
    </w:r>
  </w:p>
  <w:p w:rsidR="0019201B" w:rsidRDefault="0019201B" w:rsidP="0019201B">
    <w:pPr>
      <w:pStyle w:val="Header"/>
      <w:jc w:val="center"/>
      <w:rPr>
        <w:rFonts w:ascii="Arial" w:hAnsi="Arial" w:cs="Arial"/>
        <w:sz w:val="18"/>
        <w:szCs w:val="18"/>
      </w:rPr>
    </w:pPr>
    <w:r w:rsidRPr="00001445">
      <w:rPr>
        <w:rFonts w:ascii="Arial" w:hAnsi="Arial" w:cs="Arial"/>
        <w:sz w:val="18"/>
        <w:szCs w:val="18"/>
      </w:rPr>
      <w:t xml:space="preserve">WHOLESALE CUSTOMERS ON </w:t>
    </w:r>
    <w:r w:rsidR="001616B9">
      <w:rPr>
        <w:rFonts w:ascii="Arial" w:hAnsi="Arial" w:cs="Arial"/>
        <w:sz w:val="18"/>
        <w:szCs w:val="18"/>
      </w:rPr>
      <w:t>RATE</w:t>
    </w:r>
    <w:r>
      <w:rPr>
        <w:rFonts w:ascii="Arial" w:hAnsi="Arial" w:cs="Arial"/>
        <w:sz w:val="18"/>
        <w:szCs w:val="18"/>
      </w:rPr>
      <w:t xml:space="preserve"> BENCHMARK CHANGES </w:t>
    </w:r>
  </w:p>
  <w:p w:rsidR="0019201B" w:rsidRDefault="0019201B" w:rsidP="0019201B">
    <w:pPr>
      <w:spacing w:after="120" w:line="240" w:lineRule="auto"/>
      <w:jc w:val="right"/>
      <w:rPr>
        <w:rFonts w:ascii="Arial" w:hAnsi="Arial" w:cs="Arial"/>
        <w:sz w:val="20"/>
        <w:szCs w:val="20"/>
      </w:rPr>
    </w:pPr>
  </w:p>
  <w:p w:rsidR="0019201B" w:rsidRPr="00DB38A9" w:rsidRDefault="001616B9" w:rsidP="0019201B">
    <w:pPr>
      <w:spacing w:after="120" w:line="240" w:lineRule="auto"/>
      <w:jc w:val="right"/>
      <w:rPr>
        <w:rFonts w:ascii="Arial" w:hAnsi="Arial" w:cs="Arial"/>
        <w:sz w:val="20"/>
        <w:szCs w:val="20"/>
      </w:rPr>
    </w:pPr>
    <w:r>
      <w:rPr>
        <w:rFonts w:ascii="Arial" w:hAnsi="Arial" w:cs="Arial"/>
        <w:sz w:val="20"/>
        <w:szCs w:val="20"/>
      </w:rPr>
      <w:t>29 August</w:t>
    </w:r>
    <w:r w:rsidR="0019201B">
      <w:rPr>
        <w:rFonts w:ascii="Arial" w:hAnsi="Arial" w:cs="Arial"/>
        <w:sz w:val="20"/>
        <w:szCs w:val="20"/>
      </w:rPr>
      <w:t xml:space="preserve"> 2013</w:t>
    </w:r>
  </w:p>
  <w:p w:rsidR="0019201B" w:rsidRPr="00001445" w:rsidRDefault="0019201B" w:rsidP="00DB38A9">
    <w:pPr>
      <w:pStyle w:val="Header"/>
      <w:jc w:val="center"/>
      <w:rPr>
        <w:rFonts w:ascii="Arial" w:hAnsi="Arial" w:cs="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58AA"/>
    <w:multiLevelType w:val="hybridMultilevel"/>
    <w:tmpl w:val="B89E309C"/>
    <w:lvl w:ilvl="0" w:tplc="1F0670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E33831"/>
    <w:multiLevelType w:val="hybridMultilevel"/>
    <w:tmpl w:val="81B0A518"/>
    <w:lvl w:ilvl="0" w:tplc="C5F860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9A04E5"/>
    <w:multiLevelType w:val="hybridMultilevel"/>
    <w:tmpl w:val="CB18107A"/>
    <w:lvl w:ilvl="0" w:tplc="7B20066A">
      <w:start w:val="1"/>
      <w:numFmt w:val="bullet"/>
      <w:lvlText w:val=""/>
      <w:lvlJc w:val="left"/>
      <w:pPr>
        <w:ind w:left="1440" w:hanging="360"/>
      </w:pPr>
      <w:rPr>
        <w:rFonts w:ascii="Symbol" w:hAnsi="Symbol" w:hint="default"/>
        <w:sz w:val="1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D12623C"/>
    <w:multiLevelType w:val="hybridMultilevel"/>
    <w:tmpl w:val="2E469570"/>
    <w:lvl w:ilvl="0" w:tplc="DF2401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319AC"/>
    <w:multiLevelType w:val="hybridMultilevel"/>
    <w:tmpl w:val="13A26E38"/>
    <w:lvl w:ilvl="0" w:tplc="BFEE8D58">
      <w:start w:val="1"/>
      <w:numFmt w:val="bullet"/>
      <w:lvlText w:val=""/>
      <w:lvlJc w:val="left"/>
      <w:pPr>
        <w:tabs>
          <w:tab w:val="num" w:pos="720"/>
        </w:tabs>
        <w:ind w:left="720" w:hanging="360"/>
      </w:pPr>
      <w:rPr>
        <w:rFonts w:ascii="Wingdings" w:hAnsi="Wingdings" w:hint="default"/>
      </w:rPr>
    </w:lvl>
    <w:lvl w:ilvl="1" w:tplc="E08CDAFE" w:tentative="1">
      <w:start w:val="1"/>
      <w:numFmt w:val="bullet"/>
      <w:lvlText w:val=""/>
      <w:lvlJc w:val="left"/>
      <w:pPr>
        <w:tabs>
          <w:tab w:val="num" w:pos="1440"/>
        </w:tabs>
        <w:ind w:left="1440" w:hanging="360"/>
      </w:pPr>
      <w:rPr>
        <w:rFonts w:ascii="Wingdings" w:hAnsi="Wingdings" w:hint="default"/>
      </w:rPr>
    </w:lvl>
    <w:lvl w:ilvl="2" w:tplc="F5788A50" w:tentative="1">
      <w:start w:val="1"/>
      <w:numFmt w:val="bullet"/>
      <w:lvlText w:val=""/>
      <w:lvlJc w:val="left"/>
      <w:pPr>
        <w:tabs>
          <w:tab w:val="num" w:pos="2160"/>
        </w:tabs>
        <w:ind w:left="2160" w:hanging="360"/>
      </w:pPr>
      <w:rPr>
        <w:rFonts w:ascii="Wingdings" w:hAnsi="Wingdings" w:hint="default"/>
      </w:rPr>
    </w:lvl>
    <w:lvl w:ilvl="3" w:tplc="A244A7B0" w:tentative="1">
      <w:start w:val="1"/>
      <w:numFmt w:val="bullet"/>
      <w:lvlText w:val=""/>
      <w:lvlJc w:val="left"/>
      <w:pPr>
        <w:tabs>
          <w:tab w:val="num" w:pos="2880"/>
        </w:tabs>
        <w:ind w:left="2880" w:hanging="360"/>
      </w:pPr>
      <w:rPr>
        <w:rFonts w:ascii="Wingdings" w:hAnsi="Wingdings" w:hint="default"/>
      </w:rPr>
    </w:lvl>
    <w:lvl w:ilvl="4" w:tplc="B052C470" w:tentative="1">
      <w:start w:val="1"/>
      <w:numFmt w:val="bullet"/>
      <w:lvlText w:val=""/>
      <w:lvlJc w:val="left"/>
      <w:pPr>
        <w:tabs>
          <w:tab w:val="num" w:pos="3600"/>
        </w:tabs>
        <w:ind w:left="3600" w:hanging="360"/>
      </w:pPr>
      <w:rPr>
        <w:rFonts w:ascii="Wingdings" w:hAnsi="Wingdings" w:hint="default"/>
      </w:rPr>
    </w:lvl>
    <w:lvl w:ilvl="5" w:tplc="9CEECFFA" w:tentative="1">
      <w:start w:val="1"/>
      <w:numFmt w:val="bullet"/>
      <w:lvlText w:val=""/>
      <w:lvlJc w:val="left"/>
      <w:pPr>
        <w:tabs>
          <w:tab w:val="num" w:pos="4320"/>
        </w:tabs>
        <w:ind w:left="4320" w:hanging="360"/>
      </w:pPr>
      <w:rPr>
        <w:rFonts w:ascii="Wingdings" w:hAnsi="Wingdings" w:hint="default"/>
      </w:rPr>
    </w:lvl>
    <w:lvl w:ilvl="6" w:tplc="3DD0D84E" w:tentative="1">
      <w:start w:val="1"/>
      <w:numFmt w:val="bullet"/>
      <w:lvlText w:val=""/>
      <w:lvlJc w:val="left"/>
      <w:pPr>
        <w:tabs>
          <w:tab w:val="num" w:pos="5040"/>
        </w:tabs>
        <w:ind w:left="5040" w:hanging="360"/>
      </w:pPr>
      <w:rPr>
        <w:rFonts w:ascii="Wingdings" w:hAnsi="Wingdings" w:hint="default"/>
      </w:rPr>
    </w:lvl>
    <w:lvl w:ilvl="7" w:tplc="B32A0634" w:tentative="1">
      <w:start w:val="1"/>
      <w:numFmt w:val="bullet"/>
      <w:lvlText w:val=""/>
      <w:lvlJc w:val="left"/>
      <w:pPr>
        <w:tabs>
          <w:tab w:val="num" w:pos="5760"/>
        </w:tabs>
        <w:ind w:left="5760" w:hanging="360"/>
      </w:pPr>
      <w:rPr>
        <w:rFonts w:ascii="Wingdings" w:hAnsi="Wingdings" w:hint="default"/>
      </w:rPr>
    </w:lvl>
    <w:lvl w:ilvl="8" w:tplc="4AD6825C" w:tentative="1">
      <w:start w:val="1"/>
      <w:numFmt w:val="bullet"/>
      <w:lvlText w:val=""/>
      <w:lvlJc w:val="left"/>
      <w:pPr>
        <w:tabs>
          <w:tab w:val="num" w:pos="6480"/>
        </w:tabs>
        <w:ind w:left="6480" w:hanging="360"/>
      </w:pPr>
      <w:rPr>
        <w:rFonts w:ascii="Wingdings" w:hAnsi="Wingdings" w:hint="default"/>
      </w:rPr>
    </w:lvl>
  </w:abstractNum>
  <w:abstractNum w:abstractNumId="5">
    <w:nsid w:val="3D2915A2"/>
    <w:multiLevelType w:val="hybridMultilevel"/>
    <w:tmpl w:val="C71E5724"/>
    <w:lvl w:ilvl="0" w:tplc="B928B6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2825B6"/>
    <w:multiLevelType w:val="hybridMultilevel"/>
    <w:tmpl w:val="BA364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3FC6BCC"/>
    <w:multiLevelType w:val="hybridMultilevel"/>
    <w:tmpl w:val="774E5488"/>
    <w:lvl w:ilvl="0" w:tplc="8034E7A6">
      <w:start w:val="1"/>
      <w:numFmt w:val="bullet"/>
      <w:lvlText w:val=""/>
      <w:lvlJc w:val="left"/>
      <w:pPr>
        <w:tabs>
          <w:tab w:val="num" w:pos="720"/>
        </w:tabs>
        <w:ind w:left="720" w:hanging="360"/>
      </w:pPr>
      <w:rPr>
        <w:rFonts w:ascii="Wingdings" w:hAnsi="Wingdings" w:hint="default"/>
      </w:rPr>
    </w:lvl>
    <w:lvl w:ilvl="1" w:tplc="7A383E46" w:tentative="1">
      <w:start w:val="1"/>
      <w:numFmt w:val="bullet"/>
      <w:lvlText w:val=""/>
      <w:lvlJc w:val="left"/>
      <w:pPr>
        <w:tabs>
          <w:tab w:val="num" w:pos="1440"/>
        </w:tabs>
        <w:ind w:left="1440" w:hanging="360"/>
      </w:pPr>
      <w:rPr>
        <w:rFonts w:ascii="Wingdings" w:hAnsi="Wingdings" w:hint="default"/>
      </w:rPr>
    </w:lvl>
    <w:lvl w:ilvl="2" w:tplc="54CEB97C" w:tentative="1">
      <w:start w:val="1"/>
      <w:numFmt w:val="bullet"/>
      <w:lvlText w:val=""/>
      <w:lvlJc w:val="left"/>
      <w:pPr>
        <w:tabs>
          <w:tab w:val="num" w:pos="2160"/>
        </w:tabs>
        <w:ind w:left="2160" w:hanging="360"/>
      </w:pPr>
      <w:rPr>
        <w:rFonts w:ascii="Wingdings" w:hAnsi="Wingdings" w:hint="default"/>
      </w:rPr>
    </w:lvl>
    <w:lvl w:ilvl="3" w:tplc="77846D4E" w:tentative="1">
      <w:start w:val="1"/>
      <w:numFmt w:val="bullet"/>
      <w:lvlText w:val=""/>
      <w:lvlJc w:val="left"/>
      <w:pPr>
        <w:tabs>
          <w:tab w:val="num" w:pos="2880"/>
        </w:tabs>
        <w:ind w:left="2880" w:hanging="360"/>
      </w:pPr>
      <w:rPr>
        <w:rFonts w:ascii="Wingdings" w:hAnsi="Wingdings" w:hint="default"/>
      </w:rPr>
    </w:lvl>
    <w:lvl w:ilvl="4" w:tplc="BF1A02CE" w:tentative="1">
      <w:start w:val="1"/>
      <w:numFmt w:val="bullet"/>
      <w:lvlText w:val=""/>
      <w:lvlJc w:val="left"/>
      <w:pPr>
        <w:tabs>
          <w:tab w:val="num" w:pos="3600"/>
        </w:tabs>
        <w:ind w:left="3600" w:hanging="360"/>
      </w:pPr>
      <w:rPr>
        <w:rFonts w:ascii="Wingdings" w:hAnsi="Wingdings" w:hint="default"/>
      </w:rPr>
    </w:lvl>
    <w:lvl w:ilvl="5" w:tplc="D8A862E0" w:tentative="1">
      <w:start w:val="1"/>
      <w:numFmt w:val="bullet"/>
      <w:lvlText w:val=""/>
      <w:lvlJc w:val="left"/>
      <w:pPr>
        <w:tabs>
          <w:tab w:val="num" w:pos="4320"/>
        </w:tabs>
        <w:ind w:left="4320" w:hanging="360"/>
      </w:pPr>
      <w:rPr>
        <w:rFonts w:ascii="Wingdings" w:hAnsi="Wingdings" w:hint="default"/>
      </w:rPr>
    </w:lvl>
    <w:lvl w:ilvl="6" w:tplc="9E8AC626" w:tentative="1">
      <w:start w:val="1"/>
      <w:numFmt w:val="bullet"/>
      <w:lvlText w:val=""/>
      <w:lvlJc w:val="left"/>
      <w:pPr>
        <w:tabs>
          <w:tab w:val="num" w:pos="5040"/>
        </w:tabs>
        <w:ind w:left="5040" w:hanging="360"/>
      </w:pPr>
      <w:rPr>
        <w:rFonts w:ascii="Wingdings" w:hAnsi="Wingdings" w:hint="default"/>
      </w:rPr>
    </w:lvl>
    <w:lvl w:ilvl="7" w:tplc="44D4E72E" w:tentative="1">
      <w:start w:val="1"/>
      <w:numFmt w:val="bullet"/>
      <w:lvlText w:val=""/>
      <w:lvlJc w:val="left"/>
      <w:pPr>
        <w:tabs>
          <w:tab w:val="num" w:pos="5760"/>
        </w:tabs>
        <w:ind w:left="5760" w:hanging="360"/>
      </w:pPr>
      <w:rPr>
        <w:rFonts w:ascii="Wingdings" w:hAnsi="Wingdings" w:hint="default"/>
      </w:rPr>
    </w:lvl>
    <w:lvl w:ilvl="8" w:tplc="72C2EF88" w:tentative="1">
      <w:start w:val="1"/>
      <w:numFmt w:val="bullet"/>
      <w:lvlText w:val=""/>
      <w:lvlJc w:val="left"/>
      <w:pPr>
        <w:tabs>
          <w:tab w:val="num" w:pos="6480"/>
        </w:tabs>
        <w:ind w:left="6480" w:hanging="360"/>
      </w:pPr>
      <w:rPr>
        <w:rFonts w:ascii="Wingdings" w:hAnsi="Wingdings" w:hint="default"/>
      </w:rPr>
    </w:lvl>
  </w:abstractNum>
  <w:abstractNum w:abstractNumId="8">
    <w:nsid w:val="52235311"/>
    <w:multiLevelType w:val="hybridMultilevel"/>
    <w:tmpl w:val="E374710C"/>
    <w:lvl w:ilvl="0" w:tplc="DBEA52CC">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30082E"/>
    <w:multiLevelType w:val="hybridMultilevel"/>
    <w:tmpl w:val="1742A3CA"/>
    <w:lvl w:ilvl="0" w:tplc="7B20066A">
      <w:start w:val="1"/>
      <w:numFmt w:val="bullet"/>
      <w:lvlText w:val=""/>
      <w:lvlJc w:val="left"/>
      <w:pPr>
        <w:ind w:left="1440" w:hanging="360"/>
      </w:pPr>
      <w:rPr>
        <w:rFonts w:ascii="Symbol" w:hAnsi="Symbol" w:hint="default"/>
        <w:sz w:val="1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64F25B42"/>
    <w:multiLevelType w:val="hybridMultilevel"/>
    <w:tmpl w:val="5B72A11A"/>
    <w:lvl w:ilvl="0" w:tplc="D5D6F4E4">
      <w:start w:val="1"/>
      <w:numFmt w:val="bullet"/>
      <w:lvlText w:val=""/>
      <w:lvlJc w:val="left"/>
      <w:pPr>
        <w:tabs>
          <w:tab w:val="num" w:pos="720"/>
        </w:tabs>
        <w:ind w:left="720" w:hanging="360"/>
      </w:pPr>
      <w:rPr>
        <w:rFonts w:ascii="Wingdings" w:hAnsi="Wingdings" w:hint="default"/>
      </w:rPr>
    </w:lvl>
    <w:lvl w:ilvl="1" w:tplc="88CA17E4" w:tentative="1">
      <w:start w:val="1"/>
      <w:numFmt w:val="bullet"/>
      <w:lvlText w:val=""/>
      <w:lvlJc w:val="left"/>
      <w:pPr>
        <w:tabs>
          <w:tab w:val="num" w:pos="1440"/>
        </w:tabs>
        <w:ind w:left="1440" w:hanging="360"/>
      </w:pPr>
      <w:rPr>
        <w:rFonts w:ascii="Wingdings" w:hAnsi="Wingdings" w:hint="default"/>
      </w:rPr>
    </w:lvl>
    <w:lvl w:ilvl="2" w:tplc="0F30EEBC" w:tentative="1">
      <w:start w:val="1"/>
      <w:numFmt w:val="bullet"/>
      <w:lvlText w:val=""/>
      <w:lvlJc w:val="left"/>
      <w:pPr>
        <w:tabs>
          <w:tab w:val="num" w:pos="2160"/>
        </w:tabs>
        <w:ind w:left="2160" w:hanging="360"/>
      </w:pPr>
      <w:rPr>
        <w:rFonts w:ascii="Wingdings" w:hAnsi="Wingdings" w:hint="default"/>
      </w:rPr>
    </w:lvl>
    <w:lvl w:ilvl="3" w:tplc="40126886" w:tentative="1">
      <w:start w:val="1"/>
      <w:numFmt w:val="bullet"/>
      <w:lvlText w:val=""/>
      <w:lvlJc w:val="left"/>
      <w:pPr>
        <w:tabs>
          <w:tab w:val="num" w:pos="2880"/>
        </w:tabs>
        <w:ind w:left="2880" w:hanging="360"/>
      </w:pPr>
      <w:rPr>
        <w:rFonts w:ascii="Wingdings" w:hAnsi="Wingdings" w:hint="default"/>
      </w:rPr>
    </w:lvl>
    <w:lvl w:ilvl="4" w:tplc="669E5268" w:tentative="1">
      <w:start w:val="1"/>
      <w:numFmt w:val="bullet"/>
      <w:lvlText w:val=""/>
      <w:lvlJc w:val="left"/>
      <w:pPr>
        <w:tabs>
          <w:tab w:val="num" w:pos="3600"/>
        </w:tabs>
        <w:ind w:left="3600" w:hanging="360"/>
      </w:pPr>
      <w:rPr>
        <w:rFonts w:ascii="Wingdings" w:hAnsi="Wingdings" w:hint="default"/>
      </w:rPr>
    </w:lvl>
    <w:lvl w:ilvl="5" w:tplc="B4BAE6D6" w:tentative="1">
      <w:start w:val="1"/>
      <w:numFmt w:val="bullet"/>
      <w:lvlText w:val=""/>
      <w:lvlJc w:val="left"/>
      <w:pPr>
        <w:tabs>
          <w:tab w:val="num" w:pos="4320"/>
        </w:tabs>
        <w:ind w:left="4320" w:hanging="360"/>
      </w:pPr>
      <w:rPr>
        <w:rFonts w:ascii="Wingdings" w:hAnsi="Wingdings" w:hint="default"/>
      </w:rPr>
    </w:lvl>
    <w:lvl w:ilvl="6" w:tplc="39C6BFDC" w:tentative="1">
      <w:start w:val="1"/>
      <w:numFmt w:val="bullet"/>
      <w:lvlText w:val=""/>
      <w:lvlJc w:val="left"/>
      <w:pPr>
        <w:tabs>
          <w:tab w:val="num" w:pos="5040"/>
        </w:tabs>
        <w:ind w:left="5040" w:hanging="360"/>
      </w:pPr>
      <w:rPr>
        <w:rFonts w:ascii="Wingdings" w:hAnsi="Wingdings" w:hint="default"/>
      </w:rPr>
    </w:lvl>
    <w:lvl w:ilvl="7" w:tplc="0CC8D990" w:tentative="1">
      <w:start w:val="1"/>
      <w:numFmt w:val="bullet"/>
      <w:lvlText w:val=""/>
      <w:lvlJc w:val="left"/>
      <w:pPr>
        <w:tabs>
          <w:tab w:val="num" w:pos="5760"/>
        </w:tabs>
        <w:ind w:left="5760" w:hanging="360"/>
      </w:pPr>
      <w:rPr>
        <w:rFonts w:ascii="Wingdings" w:hAnsi="Wingdings" w:hint="default"/>
      </w:rPr>
    </w:lvl>
    <w:lvl w:ilvl="8" w:tplc="FD4020C4" w:tentative="1">
      <w:start w:val="1"/>
      <w:numFmt w:val="bullet"/>
      <w:lvlText w:val=""/>
      <w:lvlJc w:val="left"/>
      <w:pPr>
        <w:tabs>
          <w:tab w:val="num" w:pos="6480"/>
        </w:tabs>
        <w:ind w:left="6480" w:hanging="360"/>
      </w:pPr>
      <w:rPr>
        <w:rFonts w:ascii="Wingdings" w:hAnsi="Wingdings" w:hint="default"/>
      </w:rPr>
    </w:lvl>
  </w:abstractNum>
  <w:abstractNum w:abstractNumId="11">
    <w:nsid w:val="734F600A"/>
    <w:multiLevelType w:val="hybridMultilevel"/>
    <w:tmpl w:val="DBD0501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75F32B73"/>
    <w:multiLevelType w:val="hybridMultilevel"/>
    <w:tmpl w:val="24BA3D7E"/>
    <w:lvl w:ilvl="0" w:tplc="7E143F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335727"/>
    <w:multiLevelType w:val="hybridMultilevel"/>
    <w:tmpl w:val="F1B0B672"/>
    <w:lvl w:ilvl="0" w:tplc="812256A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7"/>
  </w:num>
  <w:num w:numId="4">
    <w:abstractNumId w:val="4"/>
  </w:num>
  <w:num w:numId="5">
    <w:abstractNumId w:val="11"/>
  </w:num>
  <w:num w:numId="6">
    <w:abstractNumId w:val="8"/>
  </w:num>
  <w:num w:numId="7">
    <w:abstractNumId w:val="9"/>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5"/>
  </w:num>
  <w:num w:numId="12">
    <w:abstractNumId w:val="1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hdrShapeDefaults>
    <o:shapedefaults v:ext="edit" spidmax="31746"/>
  </w:hdrShapeDefaults>
  <w:footnotePr>
    <w:footnote w:id="-1"/>
    <w:footnote w:id="0"/>
  </w:footnotePr>
  <w:endnotePr>
    <w:endnote w:id="-1"/>
    <w:endnote w:id="0"/>
  </w:endnotePr>
  <w:compat>
    <w:useFELayout/>
  </w:compat>
  <w:rsids>
    <w:rsidRoot w:val="00DB38A9"/>
    <w:rsid w:val="00001445"/>
    <w:rsid w:val="00007BF1"/>
    <w:rsid w:val="00065BA0"/>
    <w:rsid w:val="000D4A45"/>
    <w:rsid w:val="000F381F"/>
    <w:rsid w:val="00131650"/>
    <w:rsid w:val="001616B9"/>
    <w:rsid w:val="0019201B"/>
    <w:rsid w:val="001B4967"/>
    <w:rsid w:val="001C39C7"/>
    <w:rsid w:val="002519AC"/>
    <w:rsid w:val="0026126E"/>
    <w:rsid w:val="002B5C72"/>
    <w:rsid w:val="002B6E2E"/>
    <w:rsid w:val="003062F9"/>
    <w:rsid w:val="003B1992"/>
    <w:rsid w:val="003C1F5F"/>
    <w:rsid w:val="003D3ECD"/>
    <w:rsid w:val="003E3285"/>
    <w:rsid w:val="00441785"/>
    <w:rsid w:val="00445CBF"/>
    <w:rsid w:val="004A1D57"/>
    <w:rsid w:val="004A63E2"/>
    <w:rsid w:val="004B25B3"/>
    <w:rsid w:val="004C28CC"/>
    <w:rsid w:val="004D7C4F"/>
    <w:rsid w:val="00527999"/>
    <w:rsid w:val="005622D0"/>
    <w:rsid w:val="00575C06"/>
    <w:rsid w:val="005B43B5"/>
    <w:rsid w:val="005C4135"/>
    <w:rsid w:val="00613D39"/>
    <w:rsid w:val="0071258A"/>
    <w:rsid w:val="00737D98"/>
    <w:rsid w:val="00753EFC"/>
    <w:rsid w:val="00821B6F"/>
    <w:rsid w:val="008421F5"/>
    <w:rsid w:val="00861DBB"/>
    <w:rsid w:val="00883C83"/>
    <w:rsid w:val="0089794E"/>
    <w:rsid w:val="00913121"/>
    <w:rsid w:val="00950A87"/>
    <w:rsid w:val="009758FB"/>
    <w:rsid w:val="009C3EAD"/>
    <w:rsid w:val="009D7809"/>
    <w:rsid w:val="009D7FE1"/>
    <w:rsid w:val="009F71F2"/>
    <w:rsid w:val="00A312DA"/>
    <w:rsid w:val="00A96D5B"/>
    <w:rsid w:val="00AB2F84"/>
    <w:rsid w:val="00AD5B71"/>
    <w:rsid w:val="00B062B4"/>
    <w:rsid w:val="00B2408E"/>
    <w:rsid w:val="00B24EE0"/>
    <w:rsid w:val="00B55DDE"/>
    <w:rsid w:val="00B62694"/>
    <w:rsid w:val="00B64BA9"/>
    <w:rsid w:val="00BF2247"/>
    <w:rsid w:val="00C6694D"/>
    <w:rsid w:val="00C97E7B"/>
    <w:rsid w:val="00CA3C98"/>
    <w:rsid w:val="00CD33A8"/>
    <w:rsid w:val="00D2571A"/>
    <w:rsid w:val="00D34D4D"/>
    <w:rsid w:val="00D43873"/>
    <w:rsid w:val="00D4580D"/>
    <w:rsid w:val="00D645B6"/>
    <w:rsid w:val="00D64739"/>
    <w:rsid w:val="00DA3D8F"/>
    <w:rsid w:val="00DA5292"/>
    <w:rsid w:val="00DB38A9"/>
    <w:rsid w:val="00DB55E5"/>
    <w:rsid w:val="00DF2925"/>
    <w:rsid w:val="00E021DF"/>
    <w:rsid w:val="00E63FA2"/>
    <w:rsid w:val="00F24572"/>
    <w:rsid w:val="00F30D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8A9"/>
  </w:style>
  <w:style w:type="paragraph" w:styleId="Footer">
    <w:name w:val="footer"/>
    <w:basedOn w:val="Normal"/>
    <w:link w:val="FooterChar"/>
    <w:uiPriority w:val="99"/>
    <w:unhideWhenUsed/>
    <w:rsid w:val="00DB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8A9"/>
  </w:style>
  <w:style w:type="paragraph" w:customStyle="1" w:styleId="Default">
    <w:name w:val="Default"/>
    <w:rsid w:val="00DB38A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B3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38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8A9"/>
    <w:rPr>
      <w:sz w:val="20"/>
      <w:szCs w:val="20"/>
    </w:rPr>
  </w:style>
  <w:style w:type="character" w:styleId="FootnoteReference">
    <w:name w:val="footnote reference"/>
    <w:basedOn w:val="DefaultParagraphFont"/>
    <w:uiPriority w:val="99"/>
    <w:semiHidden/>
    <w:unhideWhenUsed/>
    <w:rsid w:val="00DB38A9"/>
    <w:rPr>
      <w:vertAlign w:val="superscript"/>
    </w:rPr>
  </w:style>
  <w:style w:type="character" w:styleId="Hyperlink">
    <w:name w:val="Hyperlink"/>
    <w:basedOn w:val="DefaultParagraphFont"/>
    <w:uiPriority w:val="99"/>
    <w:unhideWhenUsed/>
    <w:rsid w:val="00DB38A9"/>
    <w:rPr>
      <w:color w:val="0000FF" w:themeColor="hyperlink"/>
      <w:u w:val="single"/>
    </w:rPr>
  </w:style>
  <w:style w:type="character" w:styleId="FollowedHyperlink">
    <w:name w:val="FollowedHyperlink"/>
    <w:basedOn w:val="DefaultParagraphFont"/>
    <w:uiPriority w:val="99"/>
    <w:semiHidden/>
    <w:unhideWhenUsed/>
    <w:rsid w:val="00527999"/>
    <w:rPr>
      <w:color w:val="800080" w:themeColor="followedHyperlink"/>
      <w:u w:val="single"/>
    </w:rPr>
  </w:style>
  <w:style w:type="paragraph" w:styleId="BalloonText">
    <w:name w:val="Balloon Text"/>
    <w:basedOn w:val="Normal"/>
    <w:link w:val="BalloonTextChar"/>
    <w:uiPriority w:val="99"/>
    <w:semiHidden/>
    <w:unhideWhenUsed/>
    <w:rsid w:val="00575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C06"/>
    <w:rPr>
      <w:rFonts w:ascii="Tahoma" w:hAnsi="Tahoma" w:cs="Tahoma"/>
      <w:sz w:val="16"/>
      <w:szCs w:val="16"/>
    </w:rPr>
  </w:style>
  <w:style w:type="paragraph" w:styleId="NormalWeb">
    <w:name w:val="Normal (Web)"/>
    <w:basedOn w:val="Normal"/>
    <w:uiPriority w:val="99"/>
    <w:unhideWhenUsed/>
    <w:rsid w:val="0044178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41785"/>
    <w:pPr>
      <w:spacing w:after="0" w:line="240" w:lineRule="auto"/>
      <w:ind w:left="720"/>
      <w:contextualSpacing/>
    </w:pPr>
    <w:rPr>
      <w:rFonts w:ascii="Times New Roman" w:hAnsi="Times New Roman" w:cs="Times New Roman"/>
      <w:sz w:val="24"/>
      <w:szCs w:val="24"/>
    </w:rPr>
  </w:style>
  <w:style w:type="character" w:styleId="Strong">
    <w:name w:val="Strong"/>
    <w:basedOn w:val="DefaultParagraphFont"/>
    <w:uiPriority w:val="22"/>
    <w:qFormat/>
    <w:rsid w:val="00D64739"/>
    <w:rPr>
      <w:b/>
      <w:bCs/>
    </w:rPr>
  </w:style>
  <w:style w:type="character" w:styleId="Emphasis">
    <w:name w:val="Emphasis"/>
    <w:basedOn w:val="DefaultParagraphFont"/>
    <w:uiPriority w:val="20"/>
    <w:qFormat/>
    <w:rsid w:val="00D647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8A9"/>
  </w:style>
  <w:style w:type="paragraph" w:styleId="Footer">
    <w:name w:val="footer"/>
    <w:basedOn w:val="Normal"/>
    <w:link w:val="FooterChar"/>
    <w:uiPriority w:val="99"/>
    <w:unhideWhenUsed/>
    <w:rsid w:val="00DB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8A9"/>
  </w:style>
  <w:style w:type="paragraph" w:customStyle="1" w:styleId="Default">
    <w:name w:val="Default"/>
    <w:rsid w:val="00DB38A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B3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38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8A9"/>
    <w:rPr>
      <w:sz w:val="20"/>
      <w:szCs w:val="20"/>
    </w:rPr>
  </w:style>
  <w:style w:type="character" w:styleId="FootnoteReference">
    <w:name w:val="footnote reference"/>
    <w:basedOn w:val="DefaultParagraphFont"/>
    <w:uiPriority w:val="99"/>
    <w:semiHidden/>
    <w:unhideWhenUsed/>
    <w:rsid w:val="00DB38A9"/>
    <w:rPr>
      <w:vertAlign w:val="superscript"/>
    </w:rPr>
  </w:style>
  <w:style w:type="character" w:styleId="Hyperlink">
    <w:name w:val="Hyperlink"/>
    <w:basedOn w:val="DefaultParagraphFont"/>
    <w:uiPriority w:val="99"/>
    <w:unhideWhenUsed/>
    <w:rsid w:val="00DB38A9"/>
    <w:rPr>
      <w:color w:val="0000FF" w:themeColor="hyperlink"/>
      <w:u w:val="single"/>
    </w:rPr>
  </w:style>
  <w:style w:type="character" w:styleId="FollowedHyperlink">
    <w:name w:val="FollowedHyperlink"/>
    <w:basedOn w:val="DefaultParagraphFont"/>
    <w:uiPriority w:val="99"/>
    <w:semiHidden/>
    <w:unhideWhenUsed/>
    <w:rsid w:val="00527999"/>
    <w:rPr>
      <w:color w:val="800080" w:themeColor="followedHyperlink"/>
      <w:u w:val="single"/>
    </w:rPr>
  </w:style>
  <w:style w:type="paragraph" w:styleId="BalloonText">
    <w:name w:val="Balloon Text"/>
    <w:basedOn w:val="Normal"/>
    <w:link w:val="BalloonTextChar"/>
    <w:uiPriority w:val="99"/>
    <w:semiHidden/>
    <w:unhideWhenUsed/>
    <w:rsid w:val="00575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C06"/>
    <w:rPr>
      <w:rFonts w:ascii="Tahoma" w:hAnsi="Tahoma" w:cs="Tahoma"/>
      <w:sz w:val="16"/>
      <w:szCs w:val="16"/>
    </w:rPr>
  </w:style>
  <w:style w:type="paragraph" w:styleId="NormalWeb">
    <w:name w:val="Normal (Web)"/>
    <w:basedOn w:val="Normal"/>
    <w:uiPriority w:val="99"/>
    <w:unhideWhenUsed/>
    <w:rsid w:val="0044178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41785"/>
    <w:pPr>
      <w:spacing w:after="0" w:line="240" w:lineRule="auto"/>
      <w:ind w:left="720"/>
      <w:contextualSpacing/>
    </w:pPr>
    <w:rPr>
      <w:rFonts w:ascii="Times New Roman" w:hAnsi="Times New Roman" w:cs="Times New Roman"/>
      <w:sz w:val="24"/>
      <w:szCs w:val="24"/>
    </w:rPr>
  </w:style>
  <w:style w:type="character" w:styleId="Strong">
    <w:name w:val="Strong"/>
    <w:basedOn w:val="DefaultParagraphFont"/>
    <w:uiPriority w:val="22"/>
    <w:qFormat/>
    <w:rsid w:val="00D64739"/>
    <w:rPr>
      <w:b/>
      <w:bCs/>
    </w:rPr>
  </w:style>
  <w:style w:type="character" w:styleId="Emphasis">
    <w:name w:val="Emphasis"/>
    <w:basedOn w:val="DefaultParagraphFont"/>
    <w:uiPriority w:val="20"/>
    <w:qFormat/>
    <w:rsid w:val="00D64739"/>
    <w:rPr>
      <w:i/>
      <w:iCs/>
    </w:rPr>
  </w:style>
</w:styles>
</file>

<file path=word/webSettings.xml><?xml version="1.0" encoding="utf-8"?>
<w:webSettings xmlns:r="http://schemas.openxmlformats.org/officeDocument/2006/relationships" xmlns:w="http://schemas.openxmlformats.org/wordprocessingml/2006/main">
  <w:divs>
    <w:div w:id="189756791">
      <w:bodyDiv w:val="1"/>
      <w:marLeft w:val="0"/>
      <w:marRight w:val="0"/>
      <w:marTop w:val="0"/>
      <w:marBottom w:val="0"/>
      <w:divBdr>
        <w:top w:val="none" w:sz="0" w:space="0" w:color="auto"/>
        <w:left w:val="none" w:sz="0" w:space="0" w:color="auto"/>
        <w:bottom w:val="none" w:sz="0" w:space="0" w:color="auto"/>
        <w:right w:val="none" w:sz="0" w:space="0" w:color="auto"/>
      </w:divBdr>
    </w:div>
    <w:div w:id="329329840">
      <w:bodyDiv w:val="1"/>
      <w:marLeft w:val="0"/>
      <w:marRight w:val="0"/>
      <w:marTop w:val="0"/>
      <w:marBottom w:val="0"/>
      <w:divBdr>
        <w:top w:val="none" w:sz="0" w:space="0" w:color="auto"/>
        <w:left w:val="none" w:sz="0" w:space="0" w:color="auto"/>
        <w:bottom w:val="none" w:sz="0" w:space="0" w:color="auto"/>
        <w:right w:val="none" w:sz="0" w:space="0" w:color="auto"/>
      </w:divBdr>
    </w:div>
    <w:div w:id="835344077">
      <w:bodyDiv w:val="1"/>
      <w:marLeft w:val="0"/>
      <w:marRight w:val="0"/>
      <w:marTop w:val="0"/>
      <w:marBottom w:val="0"/>
      <w:divBdr>
        <w:top w:val="none" w:sz="0" w:space="0" w:color="auto"/>
        <w:left w:val="none" w:sz="0" w:space="0" w:color="auto"/>
        <w:bottom w:val="none" w:sz="0" w:space="0" w:color="auto"/>
        <w:right w:val="none" w:sz="0" w:space="0" w:color="auto"/>
      </w:divBdr>
    </w:div>
    <w:div w:id="14093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SDAAP@isd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jpg@01CE8C45.67C3F29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femc.org/pdf/SFEMC_Explanatory_Note_5_July.pdf"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ratesamend@cliffordchance.com" TargetMode="External"/><Relationship Id="rId14" Type="http://schemas.openxmlformats.org/officeDocument/2006/relationships/hyperlink" Target="mailto:ISDAAP@isda.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abs.org.sg/financial_faq_benchmarks.php" TargetMode="External"/><Relationship Id="rId2" Type="http://schemas.openxmlformats.org/officeDocument/2006/relationships/hyperlink" Target="http://www.sfemc.org/pdf/SFEMC_Statement_on_ABS_Financial_Benchmarks.pdf" TargetMode="External"/><Relationship Id="rId1" Type="http://schemas.openxmlformats.org/officeDocument/2006/relationships/hyperlink" Target="http://www.abs.org.sg/pdfs/Newsroom/PressReleases/2013/ABS_SFEMC_Press_Release_201306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7E485-3D27-4044-A2C7-9AFBAF42A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1076</Words>
  <Characters>6136</Characters>
  <Application>Microsoft Office Word</Application>
  <DocSecurity>0</DocSecurity>
  <PresentationFormat/>
  <Lines>51</Lines>
  <Paragraphs>14</Paragraphs>
  <ScaleCrop>false</ScaleCrop>
  <HeadingPairs>
    <vt:vector size="2" baseType="variant">
      <vt:variant>
        <vt:lpstr>Title</vt:lpstr>
      </vt:variant>
      <vt:variant>
        <vt:i4>1</vt:i4>
      </vt:variant>
    </vt:vector>
  </HeadingPairs>
  <TitlesOfParts>
    <vt:vector size="1" baseType="lpstr">
      <vt:lpstr>FX Pre Pub Letter Final (00234653).DOCX</vt:lpstr>
    </vt:vector>
  </TitlesOfParts>
  <Company>ISDA</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Pre Pub Letter Final (00234653).DOCX</dc:title>
  <dc:creator>Windows User</dc:creator>
  <cp:lastModifiedBy>1154302</cp:lastModifiedBy>
  <cp:revision>2</cp:revision>
  <dcterms:created xsi:type="dcterms:W3CDTF">2013-08-29T09:49:00Z</dcterms:created>
  <dcterms:modified xsi:type="dcterms:W3CDTF">2013-08-29T09:49:00Z</dcterms:modified>
</cp:coreProperties>
</file>