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2630" w:rsidRPr="004F7373" w:rsidRDefault="00457D62">
      <w:pPr>
        <w:pStyle w:val="toa"/>
        <w:tabs>
          <w:tab w:val="clear" w:pos="0"/>
          <w:tab w:val="clear" w:pos="9000"/>
          <w:tab w:val="clear" w:pos="9360"/>
        </w:tabs>
        <w:jc w:val="center"/>
        <w:rPr>
          <w:rFonts w:ascii="Arial" w:hAnsi="Arial"/>
          <w:b/>
        </w:rPr>
      </w:pPr>
      <w:bookmarkStart w:id="0" w:name="_GoBack"/>
      <w:bookmarkEnd w:id="0"/>
      <w:r>
        <w:rPr>
          <w:rFonts w:ascii="Arial" w:hAnsi="Arial"/>
          <w:b/>
        </w:rPr>
        <w:t>2014</w:t>
      </w:r>
      <w:r w:rsidR="006B07CE" w:rsidRPr="004F7373">
        <w:rPr>
          <w:rFonts w:ascii="Arial" w:hAnsi="Arial"/>
          <w:b/>
        </w:rPr>
        <w:t xml:space="preserve"> </w:t>
      </w:r>
      <w:r w:rsidR="00700A5A">
        <w:rPr>
          <w:rFonts w:ascii="Arial" w:hAnsi="Arial"/>
          <w:b/>
        </w:rPr>
        <w:t>B</w:t>
      </w:r>
      <w:r w:rsidR="00F82630" w:rsidRPr="004F7373">
        <w:rPr>
          <w:rFonts w:ascii="Arial" w:hAnsi="Arial"/>
          <w:b/>
        </w:rPr>
        <w:t>ILATERAL AMENDMENT</w:t>
      </w:r>
      <w:r w:rsidR="00123BAD" w:rsidRPr="004F7373">
        <w:rPr>
          <w:rFonts w:ascii="Arial" w:hAnsi="Arial"/>
          <w:b/>
        </w:rPr>
        <w:t xml:space="preserve"> AGREEMENT</w:t>
      </w:r>
    </w:p>
    <w:p w:rsidR="00457D62" w:rsidRDefault="00F82630" w:rsidP="00457D62">
      <w:pPr>
        <w:suppressAutoHyphens/>
        <w:jc w:val="center"/>
        <w:rPr>
          <w:b/>
        </w:rPr>
      </w:pPr>
      <w:r w:rsidRPr="004F7373">
        <w:rPr>
          <w:b/>
        </w:rPr>
        <w:t>FOR</w:t>
      </w:r>
      <w:r w:rsidR="00152192" w:rsidRPr="004F7373">
        <w:rPr>
          <w:b/>
        </w:rPr>
        <w:t xml:space="preserve"> </w:t>
      </w:r>
      <w:r w:rsidR="00457D62" w:rsidRPr="00457D62">
        <w:rPr>
          <w:b/>
        </w:rPr>
        <w:t xml:space="preserve">IDR NON-DELIVERABLE FX AND CURRENCY OPTION TRANSACTIONS, NON-DELIVERABLE SWAP TRANSACTIONS </w:t>
      </w:r>
    </w:p>
    <w:p w:rsidR="00F82630" w:rsidRPr="00457D62" w:rsidRDefault="00457D62" w:rsidP="00457D62">
      <w:pPr>
        <w:suppressAutoHyphens/>
        <w:jc w:val="center"/>
        <w:rPr>
          <w:b/>
        </w:rPr>
      </w:pPr>
      <w:r w:rsidRPr="00457D62">
        <w:rPr>
          <w:b/>
        </w:rPr>
        <w:t xml:space="preserve">AND </w:t>
      </w:r>
      <w:r w:rsidR="00073328">
        <w:rPr>
          <w:b/>
        </w:rPr>
        <w:t xml:space="preserve">CERTAIN </w:t>
      </w:r>
      <w:r w:rsidRPr="00457D62">
        <w:rPr>
          <w:b/>
        </w:rPr>
        <w:t>OTHER TRANSACTIONS</w:t>
      </w:r>
    </w:p>
    <w:p w:rsidR="00F82630" w:rsidRDefault="00920EA9" w:rsidP="00A1783D">
      <w:pPr>
        <w:pStyle w:val="BodyText2"/>
        <w:jc w:val="both"/>
      </w:pPr>
      <w:r>
        <w:br/>
      </w:r>
      <w:r w:rsidR="00F82630">
        <w:rPr>
          <w:smallCaps/>
        </w:rPr>
        <w:t xml:space="preserve">THIS </w:t>
      </w:r>
      <w:r w:rsidR="00700A5A">
        <w:rPr>
          <w:smallCaps/>
        </w:rPr>
        <w:t>BI</w:t>
      </w:r>
      <w:r w:rsidR="009A4AF3">
        <w:rPr>
          <w:smallCaps/>
        </w:rPr>
        <w:t xml:space="preserve">LATERAL AMENDMENT AGREEMENT </w:t>
      </w:r>
      <w:r w:rsidR="00AA2DC0">
        <w:t>(this “</w:t>
      </w:r>
      <w:r w:rsidR="00AA2DC0" w:rsidRPr="004168BB">
        <w:rPr>
          <w:b/>
        </w:rPr>
        <w:t>Amendment</w:t>
      </w:r>
      <w:r w:rsidR="00AA2DC0">
        <w:t>”)</w:t>
      </w:r>
      <w:r w:rsidR="00F82630">
        <w:t xml:space="preserve"> is by and </w:t>
      </w:r>
      <w:r w:rsidR="00427726">
        <w:t>between</w:t>
      </w:r>
      <w:r w:rsidR="00F82630">
        <w:t xml:space="preserve"> </w:t>
      </w:r>
      <w:r w:rsidR="00700A5A">
        <w:t xml:space="preserve">the </w:t>
      </w:r>
      <w:r w:rsidR="00F82630">
        <w:t>part</w:t>
      </w:r>
      <w:r w:rsidR="00700A5A">
        <w:t>ies</w:t>
      </w:r>
      <w:r w:rsidR="00F82630">
        <w:t xml:space="preserve"> hereto (each, a “</w:t>
      </w:r>
      <w:r w:rsidR="00F82630" w:rsidRPr="004168BB">
        <w:rPr>
          <w:b/>
        </w:rPr>
        <w:t>Party</w:t>
      </w:r>
      <w:r w:rsidR="00F82630">
        <w:t>” and together, the “</w:t>
      </w:r>
      <w:r w:rsidR="00F82630" w:rsidRPr="004168BB">
        <w:rPr>
          <w:b/>
        </w:rPr>
        <w:t>Parties</w:t>
      </w:r>
      <w:r w:rsidR="00F82630">
        <w:t>”).</w:t>
      </w:r>
    </w:p>
    <w:p w:rsidR="00F82630" w:rsidRDefault="00F82630">
      <w:pPr>
        <w:tabs>
          <w:tab w:val="left" w:pos="-720"/>
        </w:tabs>
        <w:suppressAutoHyphens/>
        <w:jc w:val="both"/>
      </w:pPr>
    </w:p>
    <w:p w:rsidR="00072D3D" w:rsidRDefault="00F82630">
      <w:pPr>
        <w:tabs>
          <w:tab w:val="left" w:pos="720"/>
          <w:tab w:val="left" w:pos="1440"/>
          <w:tab w:val="left" w:pos="2880"/>
        </w:tabs>
        <w:jc w:val="both"/>
      </w:pPr>
      <w:r>
        <w:tab/>
        <w:t xml:space="preserve">WHEREAS, </w:t>
      </w:r>
      <w:r w:rsidR="00073328">
        <w:t>ABS Benchmarks Administration Co</w:t>
      </w:r>
      <w:r w:rsidR="00250725">
        <w:t xml:space="preserve"> Pte.</w:t>
      </w:r>
      <w:r w:rsidR="0074252C">
        <w:t xml:space="preserve"> </w:t>
      </w:r>
      <w:r w:rsidR="00250725">
        <w:t>Ltd.</w:t>
      </w:r>
      <w:r w:rsidR="00D43C5C">
        <w:t xml:space="preserve">, </w:t>
      </w:r>
      <w:r w:rsidR="00033E2D">
        <w:t xml:space="preserve">in consultation with </w:t>
      </w:r>
      <w:r w:rsidR="00D43C5C">
        <w:t>the S</w:t>
      </w:r>
      <w:r w:rsidR="00566B1D">
        <w:t>ingapore Forei</w:t>
      </w:r>
      <w:r w:rsidR="009A4AF3">
        <w:t>gn</w:t>
      </w:r>
      <w:r w:rsidR="00566B1D">
        <w:t xml:space="preserve"> Exchange Market Committee (“</w:t>
      </w:r>
      <w:r w:rsidR="00566B1D" w:rsidRPr="004168BB">
        <w:rPr>
          <w:b/>
        </w:rPr>
        <w:t>S</w:t>
      </w:r>
      <w:r w:rsidR="00D43C5C" w:rsidRPr="004168BB">
        <w:rPr>
          <w:b/>
        </w:rPr>
        <w:t>FEMC</w:t>
      </w:r>
      <w:r w:rsidR="00566B1D">
        <w:t>”)</w:t>
      </w:r>
      <w:r w:rsidR="00D43C5C">
        <w:t xml:space="preserve"> </w:t>
      </w:r>
      <w:r w:rsidR="00033E2D">
        <w:t>has announced</w:t>
      </w:r>
      <w:r w:rsidR="00033E2D" w:rsidRPr="00033E2D">
        <w:t xml:space="preserve"> </w:t>
      </w:r>
      <w:r w:rsidR="00593386">
        <w:t>that the last day for</w:t>
      </w:r>
      <w:r w:rsidR="00033E2D">
        <w:t xml:space="preserve"> the calculation and publication of</w:t>
      </w:r>
      <w:r w:rsidR="00151DFD">
        <w:t xml:space="preserve"> </w:t>
      </w:r>
      <w:r w:rsidR="00033E2D">
        <w:t>the</w:t>
      </w:r>
      <w:r w:rsidR="00151DFD">
        <w:t xml:space="preserve"> </w:t>
      </w:r>
      <w:r w:rsidR="00457D62">
        <w:t>IDR VWAP (IDR03)</w:t>
      </w:r>
      <w:r w:rsidR="00151DFD">
        <w:t xml:space="preserve"> rate </w:t>
      </w:r>
      <w:r w:rsidR="00341F91">
        <w:t>(“</w:t>
      </w:r>
      <w:r w:rsidR="00341F91" w:rsidRPr="00341F91">
        <w:rPr>
          <w:b/>
        </w:rPr>
        <w:t>Discontinued Rate</w:t>
      </w:r>
      <w:r w:rsidR="00341F91">
        <w:t xml:space="preserve">”) </w:t>
      </w:r>
      <w:r w:rsidR="00593386">
        <w:t>will be</w:t>
      </w:r>
      <w:r w:rsidR="00151DFD">
        <w:t xml:space="preserve"> </w:t>
      </w:r>
      <w:r w:rsidR="00747DC8">
        <w:t>27 March</w:t>
      </w:r>
      <w:r w:rsidR="00151DFD">
        <w:t xml:space="preserve"> 201</w:t>
      </w:r>
      <w:r w:rsidR="00457D62">
        <w:t>4</w:t>
      </w:r>
      <w:r w:rsidR="00341F91">
        <w:t xml:space="preserve"> (“</w:t>
      </w:r>
      <w:r w:rsidR="00341F91" w:rsidRPr="00341F91">
        <w:rPr>
          <w:b/>
        </w:rPr>
        <w:t>Discontinuation Date</w:t>
      </w:r>
      <w:r w:rsidR="00341F91">
        <w:t>”)</w:t>
      </w:r>
      <w:r w:rsidR="00880D40">
        <w:t>;</w:t>
      </w:r>
    </w:p>
    <w:p w:rsidR="00072D3D" w:rsidRDefault="00072D3D">
      <w:pPr>
        <w:tabs>
          <w:tab w:val="left" w:pos="720"/>
          <w:tab w:val="left" w:pos="1440"/>
          <w:tab w:val="left" w:pos="2880"/>
        </w:tabs>
        <w:jc w:val="both"/>
      </w:pPr>
    </w:p>
    <w:p w:rsidR="00E47E4C" w:rsidRDefault="00072D3D">
      <w:pPr>
        <w:tabs>
          <w:tab w:val="left" w:pos="720"/>
          <w:tab w:val="left" w:pos="1440"/>
          <w:tab w:val="left" w:pos="2880"/>
        </w:tabs>
        <w:jc w:val="both"/>
      </w:pPr>
      <w:r>
        <w:tab/>
        <w:t xml:space="preserve">WHEREAS, the SFEMC has recommended that </w:t>
      </w:r>
      <w:r w:rsidR="00E47E4C">
        <w:t>market participants apply the onshore USD/IDR spot rate benchmark published by Bank Indonesia and denoted as IDR JISDOR (IDR04) in place of the Discontinued Rate</w:t>
      </w:r>
      <w:r w:rsidR="00880D40">
        <w:t>;</w:t>
      </w:r>
    </w:p>
    <w:p w:rsidR="00E47E4C" w:rsidRDefault="00E47E4C">
      <w:pPr>
        <w:tabs>
          <w:tab w:val="left" w:pos="720"/>
          <w:tab w:val="left" w:pos="1440"/>
          <w:tab w:val="left" w:pos="2880"/>
        </w:tabs>
        <w:jc w:val="both"/>
      </w:pPr>
    </w:p>
    <w:p w:rsidR="00151DFD" w:rsidRDefault="00E47E4C">
      <w:pPr>
        <w:tabs>
          <w:tab w:val="left" w:pos="720"/>
          <w:tab w:val="left" w:pos="1440"/>
          <w:tab w:val="left" w:pos="2880"/>
        </w:tabs>
        <w:jc w:val="both"/>
      </w:pPr>
      <w:r>
        <w:tab/>
        <w:t xml:space="preserve">WHEREAS, EMTA, acting with the consensus of its membership, has identified IDR JISDOR (IDR04) as an acceptable alternative valuation source </w:t>
      </w:r>
      <w:r w:rsidR="00A52DC8">
        <w:t>for non-deliverable FX forward and currency option transactions that reference the Discontinued Rate and has updated</w:t>
      </w:r>
      <w:r w:rsidR="0079471B">
        <w:t xml:space="preserve"> its market practices and standard documentation to this effect</w:t>
      </w:r>
      <w:r w:rsidR="00880D40">
        <w:t>;</w:t>
      </w:r>
      <w:r w:rsidR="00A52DC8">
        <w:t xml:space="preserve"> </w:t>
      </w:r>
    </w:p>
    <w:p w:rsidR="0079471B" w:rsidRDefault="0079471B" w:rsidP="0079471B">
      <w:pPr>
        <w:rPr>
          <w:rFonts w:ascii="Calibri" w:hAnsi="Calibri" w:cs="Calibri"/>
          <w:color w:val="1F497D"/>
          <w:sz w:val="22"/>
          <w:szCs w:val="22"/>
        </w:rPr>
      </w:pPr>
    </w:p>
    <w:p w:rsidR="00A52DC8" w:rsidRDefault="00A52DC8">
      <w:pPr>
        <w:tabs>
          <w:tab w:val="left" w:pos="720"/>
          <w:tab w:val="left" w:pos="1440"/>
          <w:tab w:val="left" w:pos="2880"/>
        </w:tabs>
        <w:jc w:val="both"/>
      </w:pPr>
      <w:r>
        <w:tab/>
        <w:t xml:space="preserve">WHEREAS, ISDA has updated and published (effective </w:t>
      </w:r>
      <w:r w:rsidR="00747DC8">
        <w:t>28 March 2014</w:t>
      </w:r>
      <w:r>
        <w:t xml:space="preserve">) </w:t>
      </w:r>
      <w:r w:rsidR="00880D40">
        <w:t xml:space="preserve">the </w:t>
      </w:r>
      <w:r w:rsidR="009B38A0">
        <w:t>ISDA Non-Deliverable Swap Transaction Fallback Matrix</w:t>
      </w:r>
      <w:r w:rsidR="00880D40">
        <w:t>;</w:t>
      </w:r>
    </w:p>
    <w:p w:rsidR="0074252C" w:rsidRDefault="0074252C">
      <w:pPr>
        <w:tabs>
          <w:tab w:val="left" w:pos="720"/>
          <w:tab w:val="left" w:pos="1440"/>
          <w:tab w:val="left" w:pos="2880"/>
        </w:tabs>
        <w:jc w:val="both"/>
      </w:pPr>
    </w:p>
    <w:p w:rsidR="00151DFD" w:rsidRDefault="00E47E4C">
      <w:pPr>
        <w:tabs>
          <w:tab w:val="left" w:pos="720"/>
          <w:tab w:val="left" w:pos="1440"/>
          <w:tab w:val="left" w:pos="2880"/>
        </w:tabs>
        <w:jc w:val="both"/>
      </w:pPr>
      <w:r>
        <w:tab/>
        <w:t xml:space="preserve">WHEREAS, </w:t>
      </w:r>
      <w:r w:rsidR="00700A5A">
        <w:t>the</w:t>
      </w:r>
      <w:r>
        <w:t xml:space="preserve"> Part</w:t>
      </w:r>
      <w:r w:rsidR="00700A5A">
        <w:t>ies</w:t>
      </w:r>
      <w:r>
        <w:t xml:space="preserve"> ha</w:t>
      </w:r>
      <w:r w:rsidR="00700A5A">
        <w:t>ve</w:t>
      </w:r>
      <w:r>
        <w:t xml:space="preserve"> entered into certain transactions that include </w:t>
      </w:r>
      <w:r w:rsidR="009B38A0">
        <w:t>non-d</w:t>
      </w:r>
      <w:r>
        <w:t>eliverable FX forward, currency option and swap transactions and certain other transactions which reference and rely on the Discontinued Rate as a primary valuation or rate calculation source for such transactions</w:t>
      </w:r>
      <w:r w:rsidR="00880D40">
        <w:t>;</w:t>
      </w:r>
      <w:r w:rsidR="00700A5A">
        <w:t xml:space="preserve"> and</w:t>
      </w:r>
    </w:p>
    <w:p w:rsidR="0074252C" w:rsidRDefault="0074252C">
      <w:pPr>
        <w:tabs>
          <w:tab w:val="left" w:pos="720"/>
          <w:tab w:val="left" w:pos="1440"/>
          <w:tab w:val="left" w:pos="2880"/>
        </w:tabs>
        <w:jc w:val="both"/>
      </w:pPr>
    </w:p>
    <w:p w:rsidR="008403DB" w:rsidRDefault="00151DFD" w:rsidP="00700A5A">
      <w:pPr>
        <w:tabs>
          <w:tab w:val="left" w:pos="720"/>
          <w:tab w:val="left" w:pos="1440"/>
          <w:tab w:val="left" w:pos="2880"/>
        </w:tabs>
        <w:jc w:val="both"/>
      </w:pPr>
      <w:r>
        <w:tab/>
      </w:r>
      <w:r w:rsidR="00F82630">
        <w:rPr>
          <w:rFonts w:cs="Arial"/>
        </w:rPr>
        <w:t xml:space="preserve">WHEREAS, </w:t>
      </w:r>
      <w:r w:rsidR="00700A5A">
        <w:rPr>
          <w:rFonts w:cs="Arial"/>
        </w:rPr>
        <w:t>the</w:t>
      </w:r>
      <w:r w:rsidR="00F82630">
        <w:rPr>
          <w:rFonts w:cs="Arial"/>
        </w:rPr>
        <w:t xml:space="preserve"> Part</w:t>
      </w:r>
      <w:r w:rsidR="00700A5A">
        <w:rPr>
          <w:rFonts w:cs="Arial"/>
        </w:rPr>
        <w:t>ies</w:t>
      </w:r>
      <w:r w:rsidR="00F82630">
        <w:rPr>
          <w:rFonts w:cs="Arial"/>
        </w:rPr>
        <w:t xml:space="preserve"> </w:t>
      </w:r>
      <w:r w:rsidR="00072D3D">
        <w:rPr>
          <w:rFonts w:cs="Arial"/>
        </w:rPr>
        <w:t xml:space="preserve">now </w:t>
      </w:r>
      <w:r w:rsidR="00F82630">
        <w:rPr>
          <w:rFonts w:cs="Arial"/>
        </w:rPr>
        <w:t xml:space="preserve">wish to amend the </w:t>
      </w:r>
      <w:r w:rsidR="00ED5BC1">
        <w:rPr>
          <w:rFonts w:cs="Arial"/>
        </w:rPr>
        <w:t>documentation</w:t>
      </w:r>
      <w:r w:rsidR="000B2F82">
        <w:t xml:space="preserve"> </w:t>
      </w:r>
      <w:r w:rsidR="00F82630">
        <w:rPr>
          <w:rFonts w:cs="Arial"/>
        </w:rPr>
        <w:t xml:space="preserve">for </w:t>
      </w:r>
      <w:r w:rsidR="00700A5A">
        <w:rPr>
          <w:rFonts w:cs="Arial"/>
        </w:rPr>
        <w:t>their</w:t>
      </w:r>
      <w:r w:rsidR="00CE1AE4">
        <w:rPr>
          <w:rFonts w:cs="Arial"/>
        </w:rPr>
        <w:t xml:space="preserve"> </w:t>
      </w:r>
      <w:r w:rsidR="00ED5BC1">
        <w:rPr>
          <w:rFonts w:cs="Arial"/>
        </w:rPr>
        <w:t xml:space="preserve">Affected </w:t>
      </w:r>
      <w:r w:rsidR="004977DE">
        <w:rPr>
          <w:rFonts w:cs="Arial"/>
        </w:rPr>
        <w:t xml:space="preserve">Covered </w:t>
      </w:r>
      <w:r w:rsidR="00ED5BC1">
        <w:rPr>
          <w:rFonts w:cs="Arial"/>
        </w:rPr>
        <w:t>Transactions (as defined below)</w:t>
      </w:r>
      <w:r w:rsidR="008C3EE5">
        <w:t xml:space="preserve"> in the manner set out in th</w:t>
      </w:r>
      <w:r w:rsidR="00722AF3">
        <w:t>is Amendment</w:t>
      </w:r>
      <w:r w:rsidR="008403DB">
        <w:t>.</w:t>
      </w:r>
      <w:r w:rsidR="008C3EE5">
        <w:t xml:space="preserve"> </w:t>
      </w:r>
    </w:p>
    <w:p w:rsidR="008403DB" w:rsidRDefault="008403DB">
      <w:pPr>
        <w:pStyle w:val="BodyText"/>
        <w:tabs>
          <w:tab w:val="clear" w:pos="-720"/>
          <w:tab w:val="left" w:pos="720"/>
          <w:tab w:val="left" w:pos="1440"/>
          <w:tab w:val="left" w:pos="2880"/>
        </w:tabs>
        <w:suppressAutoHyphens w:val="0"/>
      </w:pPr>
    </w:p>
    <w:p w:rsidR="00F82630" w:rsidRDefault="008403DB">
      <w:pPr>
        <w:pStyle w:val="BodyText"/>
        <w:tabs>
          <w:tab w:val="clear" w:pos="-720"/>
          <w:tab w:val="left" w:pos="720"/>
          <w:tab w:val="left" w:pos="1440"/>
          <w:tab w:val="left" w:pos="2880"/>
        </w:tabs>
        <w:suppressAutoHyphens w:val="0"/>
      </w:pPr>
      <w:r>
        <w:tab/>
      </w:r>
      <w:r w:rsidR="00F82630">
        <w:t xml:space="preserve">NOW, THEREFORE, </w:t>
      </w:r>
      <w:r w:rsidR="00700A5A">
        <w:t>the Parties</w:t>
      </w:r>
      <w:r w:rsidR="00F82630">
        <w:t xml:space="preserve"> agree as follows:</w:t>
      </w:r>
    </w:p>
    <w:p w:rsidR="00F82630" w:rsidRDefault="00F82630">
      <w:pPr>
        <w:jc w:val="both"/>
      </w:pPr>
    </w:p>
    <w:p w:rsidR="000B2F82" w:rsidRDefault="00F82630" w:rsidP="00BC3EE7">
      <w:pPr>
        <w:jc w:val="both"/>
      </w:pPr>
      <w:r>
        <w:t>SECTION 1.</w:t>
      </w:r>
      <w:r>
        <w:tab/>
      </w:r>
      <w:r>
        <w:rPr>
          <w:u w:val="single"/>
        </w:rPr>
        <w:t>Amendment</w:t>
      </w:r>
      <w:r w:rsidR="004168BB">
        <w:rPr>
          <w:u w:val="single"/>
        </w:rPr>
        <w:t>s</w:t>
      </w:r>
      <w:r>
        <w:t xml:space="preserve">.  </w:t>
      </w:r>
      <w:r w:rsidR="00880D40">
        <w:t>Effective</w:t>
      </w:r>
      <w:r w:rsidR="00B67D01">
        <w:t xml:space="preserve"> the Amendment Effective Date, if </w:t>
      </w:r>
      <w:r w:rsidR="009C55BE">
        <w:t>the</w:t>
      </w:r>
      <w:r w:rsidR="00B67D01">
        <w:t xml:space="preserve"> Discontinued Rate is to be determined for a Fixing Date for </w:t>
      </w:r>
      <w:r w:rsidR="003D3F08">
        <w:t>an</w:t>
      </w:r>
      <w:r w:rsidR="00B67D01">
        <w:t xml:space="preserve"> Affected Covered Transaction </w:t>
      </w:r>
      <w:r w:rsidR="003D3F08">
        <w:t xml:space="preserve">between </w:t>
      </w:r>
      <w:r w:rsidR="00700A5A">
        <w:t>them</w:t>
      </w:r>
      <w:r w:rsidR="003D3F08">
        <w:t xml:space="preserve"> </w:t>
      </w:r>
      <w:r w:rsidR="00817CD4">
        <w:t xml:space="preserve">and such Fixing Date </w:t>
      </w:r>
      <w:r w:rsidR="00B67D01">
        <w:t>occurs (</w:t>
      </w:r>
      <w:proofErr w:type="spellStart"/>
      <w:r w:rsidR="00B67D01">
        <w:t>i</w:t>
      </w:r>
      <w:proofErr w:type="spellEnd"/>
      <w:r w:rsidR="00B67D01">
        <w:t xml:space="preserve">) on or after </w:t>
      </w:r>
      <w:r w:rsidR="003D3F08">
        <w:t>such</w:t>
      </w:r>
      <w:r w:rsidR="00B67D01">
        <w:t xml:space="preserve"> Amendment Effective Date and (ii) after the Discontinuation Date, then notwithstanding anything to the contrary in the </w:t>
      </w:r>
      <w:r w:rsidR="00E606C0">
        <w:t>Affected Confirmation</w:t>
      </w:r>
      <w:r w:rsidR="000B2F82">
        <w:t>:</w:t>
      </w:r>
    </w:p>
    <w:p w:rsidR="000B2F82" w:rsidRDefault="000B2F82" w:rsidP="00BC3EE7">
      <w:pPr>
        <w:jc w:val="both"/>
      </w:pPr>
    </w:p>
    <w:p w:rsidR="00A436BE" w:rsidRPr="00A436BE" w:rsidRDefault="005467A9" w:rsidP="005C1741">
      <w:pPr>
        <w:numPr>
          <w:ilvl w:val="1"/>
          <w:numId w:val="3"/>
        </w:numPr>
        <w:ind w:hanging="720"/>
        <w:jc w:val="both"/>
      </w:pPr>
      <w:r>
        <w:t xml:space="preserve">the rate used in lieu of </w:t>
      </w:r>
      <w:r w:rsidR="009C55BE">
        <w:t>the</w:t>
      </w:r>
      <w:r>
        <w:t xml:space="preserve"> Discontinued Rate shall be </w:t>
      </w:r>
      <w:r w:rsidR="009C55BE">
        <w:t>IDR JISDOR (IDR04)</w:t>
      </w:r>
      <w:r w:rsidR="00A436BE">
        <w:t>;</w:t>
      </w:r>
    </w:p>
    <w:p w:rsidR="00A436BE" w:rsidRDefault="00A436BE" w:rsidP="005C1741">
      <w:pPr>
        <w:pStyle w:val="ListParagraph"/>
        <w:ind w:left="1440" w:hanging="720"/>
        <w:rPr>
          <w:rFonts w:cs="Arial"/>
        </w:rPr>
      </w:pPr>
    </w:p>
    <w:p w:rsidR="00F95400" w:rsidRDefault="00465C80" w:rsidP="005C1741">
      <w:pPr>
        <w:numPr>
          <w:ilvl w:val="1"/>
          <w:numId w:val="3"/>
        </w:numPr>
        <w:ind w:hanging="720"/>
        <w:jc w:val="both"/>
      </w:pPr>
      <w:r>
        <w:t xml:space="preserve">(where applicable) </w:t>
      </w:r>
      <w:r w:rsidR="00E606C0">
        <w:t>an Affected Confirmation</w:t>
      </w:r>
      <w:r w:rsidR="00880D40">
        <w:t xml:space="preserve"> incorporating </w:t>
      </w:r>
      <w:r>
        <w:t xml:space="preserve">the 2013 IDR/USD NDF Template Terms shall be </w:t>
      </w:r>
      <w:r w:rsidR="00880D40">
        <w:t>amended to replace the 2013 IDR/USD NDF Template Terms in their entirety with</w:t>
      </w:r>
      <w:r>
        <w:t xml:space="preserve"> the 2014 IDR/USD NDF Template Terms</w:t>
      </w:r>
      <w:r w:rsidR="00F95400">
        <w:t>;</w:t>
      </w:r>
    </w:p>
    <w:p w:rsidR="00465C80" w:rsidRDefault="00465C80" w:rsidP="00465C80">
      <w:pPr>
        <w:pStyle w:val="ListParagraph"/>
      </w:pPr>
    </w:p>
    <w:p w:rsidR="00465C80" w:rsidRDefault="00465C80" w:rsidP="00465C80">
      <w:pPr>
        <w:numPr>
          <w:ilvl w:val="1"/>
          <w:numId w:val="3"/>
        </w:numPr>
        <w:ind w:hanging="720"/>
        <w:jc w:val="both"/>
      </w:pPr>
      <w:r>
        <w:t xml:space="preserve">(where applicable) </w:t>
      </w:r>
      <w:r w:rsidR="00E606C0">
        <w:t>an Affected Confirmation</w:t>
      </w:r>
      <w:r w:rsidR="00880D40">
        <w:t xml:space="preserve"> incorporating </w:t>
      </w:r>
      <w:r>
        <w:t xml:space="preserve">the 2013 IDR/USD NDO Template Terms shall be </w:t>
      </w:r>
      <w:r w:rsidR="00880D40">
        <w:t>amended to replace the 2013 IDR/USD ND</w:t>
      </w:r>
      <w:r w:rsidR="009B38A0">
        <w:t>O</w:t>
      </w:r>
      <w:r w:rsidR="00880D40">
        <w:t xml:space="preserve"> Template Terms in their entirety with</w:t>
      </w:r>
      <w:r>
        <w:t xml:space="preserve"> the 2014 IDR/USD NDO Template Terms;</w:t>
      </w:r>
      <w:r w:rsidR="00582D68">
        <w:t xml:space="preserve"> and</w:t>
      </w:r>
    </w:p>
    <w:p w:rsidR="00465C80" w:rsidRDefault="00465C80" w:rsidP="00465C80">
      <w:pPr>
        <w:pStyle w:val="ListParagraph"/>
      </w:pPr>
    </w:p>
    <w:p w:rsidR="00465C80" w:rsidRDefault="00465C80" w:rsidP="00465C80">
      <w:pPr>
        <w:numPr>
          <w:ilvl w:val="1"/>
          <w:numId w:val="3"/>
        </w:numPr>
        <w:ind w:hanging="720"/>
        <w:jc w:val="both"/>
      </w:pPr>
      <w:r>
        <w:t xml:space="preserve">(where applicable) </w:t>
      </w:r>
      <w:r w:rsidR="00E606C0">
        <w:t xml:space="preserve">an Affected Confirmation </w:t>
      </w:r>
      <w:r w:rsidR="00880D40">
        <w:t xml:space="preserve">incorporating </w:t>
      </w:r>
      <w:r>
        <w:t>the 2013 NDS</w:t>
      </w:r>
      <w:r w:rsidR="001024FA">
        <w:t>T Standard Terms Supplement</w:t>
      </w:r>
      <w:r>
        <w:t xml:space="preserve"> shall be </w:t>
      </w:r>
      <w:r w:rsidR="001024FA">
        <w:t xml:space="preserve">amended so that the “Fallback Matrix” referred to in the 2013 NDST Standard Terms Supplement shall be deemed to be to the ISDA Non-Deliverable Swap Transaction Fallback Matrix published by ISDA and effective on </w:t>
      </w:r>
      <w:r w:rsidR="00747DC8">
        <w:t>28 March 2014</w:t>
      </w:r>
      <w:r>
        <w:t>.</w:t>
      </w:r>
    </w:p>
    <w:p w:rsidR="00D350B5" w:rsidRDefault="00D350B5" w:rsidP="00BC3EE7">
      <w:pPr>
        <w:jc w:val="both"/>
      </w:pPr>
    </w:p>
    <w:p w:rsidR="00F82630" w:rsidRDefault="00F82630" w:rsidP="00BC3EE7">
      <w:pPr>
        <w:jc w:val="both"/>
      </w:pPr>
      <w:r>
        <w:t>SECTION 2.</w:t>
      </w:r>
      <w:r>
        <w:tab/>
      </w:r>
      <w:r>
        <w:rPr>
          <w:u w:val="single"/>
        </w:rPr>
        <w:t>Effect of this Amendment</w:t>
      </w:r>
      <w:r>
        <w:t>.  By signing this Amendment</w:t>
      </w:r>
      <w:r w:rsidR="00566B1D">
        <w:t xml:space="preserve">, </w:t>
      </w:r>
      <w:r w:rsidR="00E606C0">
        <w:t>an Affected Confirmation</w:t>
      </w:r>
      <w:r>
        <w:t xml:space="preserve"> between </w:t>
      </w:r>
      <w:r w:rsidR="00700A5A">
        <w:t xml:space="preserve">the </w:t>
      </w:r>
      <w:r>
        <w:t>Part</w:t>
      </w:r>
      <w:r w:rsidR="00700A5A">
        <w:t>ies</w:t>
      </w:r>
      <w:r>
        <w:t xml:space="preserve"> will be deemed amended </w:t>
      </w:r>
      <w:r w:rsidR="008C79ED">
        <w:t xml:space="preserve">as </w:t>
      </w:r>
      <w:r>
        <w:t>specified in Section 1 above.  Except for the amendment</w:t>
      </w:r>
      <w:r w:rsidR="004000AF">
        <w:t>s</w:t>
      </w:r>
      <w:r>
        <w:t xml:space="preserve"> specified in Section 1 above, this Amendment shall not affect any other terms of the </w:t>
      </w:r>
      <w:r w:rsidR="004000AF">
        <w:t xml:space="preserve">Affected </w:t>
      </w:r>
      <w:r w:rsidR="00E606C0">
        <w:t>Confirmation</w:t>
      </w:r>
      <w:r>
        <w:t>, which terms shall remain in full force and effect.</w:t>
      </w:r>
    </w:p>
    <w:p w:rsidR="00F82630" w:rsidRDefault="00F82630">
      <w:pPr>
        <w:tabs>
          <w:tab w:val="left" w:pos="-720"/>
        </w:tabs>
        <w:suppressAutoHyphens/>
        <w:jc w:val="both"/>
      </w:pPr>
    </w:p>
    <w:p w:rsidR="00F82630" w:rsidRDefault="00F82630">
      <w:pPr>
        <w:keepNext/>
        <w:keepLines/>
        <w:tabs>
          <w:tab w:val="left" w:pos="-720"/>
        </w:tabs>
        <w:suppressAutoHyphens/>
        <w:jc w:val="both"/>
      </w:pPr>
      <w:r>
        <w:t xml:space="preserve">SECTION </w:t>
      </w:r>
      <w:r w:rsidR="000B2F82">
        <w:t>3</w:t>
      </w:r>
      <w:r>
        <w:t xml:space="preserve">.  </w:t>
      </w:r>
      <w:r>
        <w:rPr>
          <w:u w:val="single"/>
        </w:rPr>
        <w:t>Miscellaneous</w:t>
      </w:r>
      <w:r>
        <w:t>.</w:t>
      </w:r>
    </w:p>
    <w:p w:rsidR="00F82630" w:rsidRDefault="00F82630">
      <w:pPr>
        <w:keepNext/>
        <w:keepLines/>
        <w:tabs>
          <w:tab w:val="left" w:pos="-720"/>
        </w:tabs>
        <w:suppressAutoHyphens/>
        <w:jc w:val="both"/>
      </w:pPr>
    </w:p>
    <w:p w:rsidR="00F82630" w:rsidRDefault="00F82630">
      <w:pPr>
        <w:keepLines/>
        <w:tabs>
          <w:tab w:val="left" w:pos="-720"/>
        </w:tabs>
        <w:suppressAutoHyphens/>
        <w:jc w:val="both"/>
      </w:pPr>
      <w:r>
        <w:tab/>
        <w:t>(a)</w:t>
      </w:r>
      <w:r>
        <w:tab/>
      </w:r>
      <w:r>
        <w:rPr>
          <w:u w:val="single"/>
        </w:rPr>
        <w:t>Valid and Binding, Etc</w:t>
      </w:r>
      <w:r>
        <w:t xml:space="preserve">.  Each Party represents and warrants that this </w:t>
      </w:r>
      <w:r w:rsidR="00120D65">
        <w:t>A</w:t>
      </w:r>
      <w:r>
        <w:t xml:space="preserve">mendment (and each </w:t>
      </w:r>
      <w:r w:rsidR="004000AF">
        <w:t xml:space="preserve">Affected </w:t>
      </w:r>
      <w:r w:rsidR="00E606C0">
        <w:t>Confirmation</w:t>
      </w:r>
      <w:r>
        <w:t>, as amended hereby) is its legal, valid and binding obligation, enforceable against such party in accordance with its terms.</w:t>
      </w:r>
    </w:p>
    <w:p w:rsidR="00F82630" w:rsidRDefault="00F82630">
      <w:pPr>
        <w:tabs>
          <w:tab w:val="left" w:pos="-720"/>
        </w:tabs>
        <w:suppressAutoHyphens/>
        <w:jc w:val="both"/>
      </w:pPr>
    </w:p>
    <w:p w:rsidR="00F82630" w:rsidRDefault="00F82630">
      <w:pPr>
        <w:tabs>
          <w:tab w:val="left" w:pos="-720"/>
        </w:tabs>
        <w:suppressAutoHyphens/>
        <w:jc w:val="both"/>
      </w:pPr>
      <w:r>
        <w:tab/>
        <w:t>(b)</w:t>
      </w:r>
      <w:r>
        <w:tab/>
      </w:r>
      <w:r>
        <w:rPr>
          <w:u w:val="single"/>
        </w:rPr>
        <w:t>Governing Law</w:t>
      </w:r>
      <w:r>
        <w:t>.  This Amendment</w:t>
      </w:r>
      <w:r w:rsidR="00700087">
        <w:t xml:space="preserve"> </w:t>
      </w:r>
      <w:r>
        <w:t xml:space="preserve">shall be governed by </w:t>
      </w:r>
      <w:r w:rsidR="00CE1AE4">
        <w:t xml:space="preserve">the law </w:t>
      </w:r>
      <w:r w:rsidR="00120D65">
        <w:t xml:space="preserve">governing </w:t>
      </w:r>
      <w:r w:rsidR="006E336B">
        <w:t xml:space="preserve">any </w:t>
      </w:r>
      <w:r w:rsidR="00657864">
        <w:t xml:space="preserve">applicable </w:t>
      </w:r>
      <w:r w:rsidR="006E336B">
        <w:t>m</w:t>
      </w:r>
      <w:r w:rsidR="00CE1AE4">
        <w:t xml:space="preserve">aster </w:t>
      </w:r>
      <w:r w:rsidR="006E336B">
        <w:t>a</w:t>
      </w:r>
      <w:r w:rsidR="0018763A">
        <w:t>greement</w:t>
      </w:r>
      <w:r w:rsidR="00CE1AE4">
        <w:t xml:space="preserve"> (or equivalent thereof) previously signed between </w:t>
      </w:r>
      <w:r w:rsidR="00700A5A">
        <w:t>the</w:t>
      </w:r>
      <w:r w:rsidR="00CE1AE4">
        <w:t xml:space="preserve"> </w:t>
      </w:r>
      <w:r w:rsidR="00120D65">
        <w:t>P</w:t>
      </w:r>
      <w:r w:rsidR="00CE1AE4">
        <w:t>arties</w:t>
      </w:r>
      <w:r w:rsidR="00C11399">
        <w:t xml:space="preserve"> (including any master agreement that the Parties are deemed to have entered into whether pursuant to an executed confirmation or otherwise)</w:t>
      </w:r>
      <w:r w:rsidR="00CD2A4E">
        <w:t xml:space="preserve">, </w:t>
      </w:r>
      <w:r w:rsidR="006E336B">
        <w:t xml:space="preserve">or failing such an agreement, </w:t>
      </w:r>
      <w:r w:rsidR="00BF651F">
        <w:t>the laws of England and Wales</w:t>
      </w:r>
      <w:r w:rsidR="006E336B">
        <w:t xml:space="preserve">. </w:t>
      </w:r>
    </w:p>
    <w:p w:rsidR="0018763A" w:rsidRDefault="0018763A">
      <w:pPr>
        <w:tabs>
          <w:tab w:val="left" w:pos="-720"/>
        </w:tabs>
        <w:suppressAutoHyphens/>
        <w:jc w:val="both"/>
      </w:pPr>
    </w:p>
    <w:p w:rsidR="0018763A" w:rsidRDefault="0018763A" w:rsidP="0018763A">
      <w:pPr>
        <w:tabs>
          <w:tab w:val="left" w:pos="-720"/>
        </w:tabs>
        <w:suppressAutoHyphens/>
        <w:jc w:val="both"/>
      </w:pPr>
      <w:r>
        <w:tab/>
        <w:t>(c)</w:t>
      </w:r>
      <w:r>
        <w:tab/>
      </w:r>
      <w:r w:rsidRPr="00D418A0">
        <w:rPr>
          <w:u w:val="single"/>
        </w:rPr>
        <w:t>Submission to Jurisdiction</w:t>
      </w:r>
      <w:r>
        <w:t xml:space="preserve">. </w:t>
      </w:r>
      <w:r w:rsidR="006E336B">
        <w:t xml:space="preserve"> Solely for purposes of disputes arising out of this Amendment, t</w:t>
      </w:r>
      <w:r>
        <w:t xml:space="preserve">he </w:t>
      </w:r>
      <w:r w:rsidR="006E336B">
        <w:t>P</w:t>
      </w:r>
      <w:r>
        <w:t xml:space="preserve">arties </w:t>
      </w:r>
      <w:r w:rsidR="006E336B">
        <w:t xml:space="preserve">irrevocably </w:t>
      </w:r>
      <w:r>
        <w:t xml:space="preserve">agree to submit to the jurisdiction </w:t>
      </w:r>
      <w:r w:rsidR="007A0C76">
        <w:t xml:space="preserve">of </w:t>
      </w:r>
      <w:r w:rsidR="00700087">
        <w:t xml:space="preserve">the </w:t>
      </w:r>
      <w:r w:rsidR="007A0C76">
        <w:t>courts</w:t>
      </w:r>
      <w:r w:rsidR="00700087">
        <w:t xml:space="preserve"> or any alternate </w:t>
      </w:r>
      <w:r w:rsidR="007A0C76">
        <w:t xml:space="preserve">dispute resolution mechanism </w:t>
      </w:r>
      <w:r>
        <w:t xml:space="preserve">that the Parties shall have previously agreed to in any </w:t>
      </w:r>
      <w:r w:rsidR="00657864">
        <w:t xml:space="preserve">applicable </w:t>
      </w:r>
      <w:r w:rsidR="006E336B">
        <w:t>m</w:t>
      </w:r>
      <w:r>
        <w:t xml:space="preserve">aster </w:t>
      </w:r>
      <w:r w:rsidR="006E336B">
        <w:t>a</w:t>
      </w:r>
      <w:r>
        <w:t xml:space="preserve">greement (or equivalent thereof) previously signed between the </w:t>
      </w:r>
      <w:r w:rsidR="00EC1D91">
        <w:t>P</w:t>
      </w:r>
      <w:r>
        <w:t>arties</w:t>
      </w:r>
      <w:r w:rsidR="00C11399">
        <w:t xml:space="preserve"> (including any master agreement that the Parties are deemed to have entered into whether pursuant to an executed confirmation or otherwise)</w:t>
      </w:r>
      <w:r w:rsidR="006E336B">
        <w:t>, or failing such an agreement, the</w:t>
      </w:r>
      <w:r w:rsidR="007A0C76">
        <w:t xml:space="preserve"> English Courts</w:t>
      </w:r>
      <w:r>
        <w:t>.</w:t>
      </w:r>
    </w:p>
    <w:p w:rsidR="0018763A" w:rsidRDefault="0018763A">
      <w:pPr>
        <w:tabs>
          <w:tab w:val="left" w:pos="-720"/>
        </w:tabs>
        <w:suppressAutoHyphens/>
        <w:jc w:val="both"/>
      </w:pPr>
    </w:p>
    <w:p w:rsidR="00F82630" w:rsidRDefault="00F82630">
      <w:pPr>
        <w:tabs>
          <w:tab w:val="left" w:pos="-720"/>
        </w:tabs>
        <w:suppressAutoHyphens/>
        <w:jc w:val="both"/>
      </w:pPr>
      <w:r>
        <w:lastRenderedPageBreak/>
        <w:tab/>
        <w:t>(</w:t>
      </w:r>
      <w:r w:rsidR="001A607B">
        <w:t>d</w:t>
      </w:r>
      <w:r>
        <w:t>)</w:t>
      </w:r>
      <w:r>
        <w:tab/>
      </w:r>
      <w:r>
        <w:rPr>
          <w:u w:val="single"/>
        </w:rPr>
        <w:t>Counterparts</w:t>
      </w:r>
      <w:r>
        <w:t>.  This Amendment may be executed by the Parties in separate counterparts, each of which when so executed being deemed an original hereof.</w:t>
      </w:r>
    </w:p>
    <w:p w:rsidR="00F82630" w:rsidRDefault="004000AF" w:rsidP="004977DE">
      <w:pPr>
        <w:tabs>
          <w:tab w:val="left" w:pos="-720"/>
        </w:tabs>
        <w:suppressAutoHyphens/>
        <w:jc w:val="both"/>
      </w:pPr>
      <w:r>
        <w:tab/>
      </w:r>
    </w:p>
    <w:p w:rsidR="004977DE" w:rsidRDefault="004977DE" w:rsidP="004977DE">
      <w:pPr>
        <w:keepNext/>
        <w:keepLines/>
        <w:tabs>
          <w:tab w:val="left" w:pos="-720"/>
        </w:tabs>
        <w:suppressAutoHyphens/>
        <w:jc w:val="both"/>
      </w:pPr>
      <w:r>
        <w:t xml:space="preserve">SECTION </w:t>
      </w:r>
      <w:r w:rsidR="005C1741">
        <w:t>4</w:t>
      </w:r>
      <w:r>
        <w:t xml:space="preserve">.  </w:t>
      </w:r>
      <w:r>
        <w:rPr>
          <w:u w:val="single"/>
        </w:rPr>
        <w:t>Definitions</w:t>
      </w:r>
      <w:r>
        <w:t>.</w:t>
      </w:r>
    </w:p>
    <w:p w:rsidR="004977DE" w:rsidRDefault="004977DE">
      <w:pPr>
        <w:pStyle w:val="BodyText"/>
      </w:pPr>
    </w:p>
    <w:p w:rsidR="004977DE" w:rsidRDefault="004977DE">
      <w:pPr>
        <w:pStyle w:val="BodyText"/>
      </w:pPr>
      <w:r>
        <w:t xml:space="preserve">Capitalized terms used herein and not otherwise defined shall have the same </w:t>
      </w:r>
      <w:r w:rsidRPr="00457D62">
        <w:rPr>
          <w:rFonts w:cs="Arial"/>
          <w:szCs w:val="24"/>
        </w:rPr>
        <w:t xml:space="preserve">meanings as set out in the </w:t>
      </w:r>
      <w:r w:rsidR="00457D62" w:rsidRPr="00457D62">
        <w:rPr>
          <w:rFonts w:cs="Arial"/>
          <w:szCs w:val="24"/>
        </w:rPr>
        <w:t xml:space="preserve">1998 FX and Currency Option Definitions </w:t>
      </w:r>
      <w:r w:rsidR="0079471B">
        <w:rPr>
          <w:rFonts w:cs="Arial"/>
          <w:szCs w:val="24"/>
        </w:rPr>
        <w:t xml:space="preserve">(including the Annex A thereto) </w:t>
      </w:r>
      <w:r w:rsidR="00457D62" w:rsidRPr="00457D62">
        <w:rPr>
          <w:rFonts w:cs="Arial"/>
          <w:szCs w:val="24"/>
        </w:rPr>
        <w:t>as published by ISDA, EMTA and the Foreign Exchange Committee</w:t>
      </w:r>
      <w:r w:rsidR="00582D68">
        <w:rPr>
          <w:rFonts w:cs="Arial"/>
          <w:szCs w:val="24"/>
        </w:rPr>
        <w:t xml:space="preserve"> (“</w:t>
      </w:r>
      <w:r w:rsidR="00582D68" w:rsidRPr="00582D68">
        <w:rPr>
          <w:rFonts w:cs="Arial"/>
          <w:b/>
          <w:szCs w:val="24"/>
        </w:rPr>
        <w:t>FXC</w:t>
      </w:r>
      <w:r w:rsidR="00582D68">
        <w:rPr>
          <w:rFonts w:cs="Arial"/>
          <w:szCs w:val="24"/>
        </w:rPr>
        <w:t>”)</w:t>
      </w:r>
      <w:r w:rsidR="00457D62" w:rsidRPr="00457D62">
        <w:rPr>
          <w:rFonts w:cs="Arial"/>
          <w:szCs w:val="24"/>
        </w:rPr>
        <w:t>) and the 2006 ISDA Definitions</w:t>
      </w:r>
      <w:r w:rsidR="00457D62">
        <w:t xml:space="preserve"> as published by ISDA</w:t>
      </w:r>
      <w:r>
        <w:t xml:space="preserve"> (</w:t>
      </w:r>
      <w:r w:rsidR="00457D62">
        <w:t xml:space="preserve">each </w:t>
      </w:r>
      <w:r>
        <w:t xml:space="preserve">as amended and supplemented through </w:t>
      </w:r>
      <w:r w:rsidR="00747DC8">
        <w:t>28 March</w:t>
      </w:r>
      <w:r w:rsidR="00457D62">
        <w:t xml:space="preserve"> 2014)</w:t>
      </w:r>
      <w:r>
        <w:t>. References in this Amendment to the following terms have the following meanings:</w:t>
      </w:r>
    </w:p>
    <w:p w:rsidR="004977DE" w:rsidRDefault="004977DE">
      <w:pPr>
        <w:pStyle w:val="BodyText"/>
      </w:pPr>
    </w:p>
    <w:p w:rsidR="001C60FD" w:rsidRDefault="004977DE" w:rsidP="007403C0">
      <w:pPr>
        <w:pStyle w:val="BodyText"/>
      </w:pPr>
      <w:r w:rsidRPr="0098748A">
        <w:rPr>
          <w:b/>
        </w:rPr>
        <w:t>Affected Covered Transaction</w:t>
      </w:r>
      <w:r>
        <w:t xml:space="preserve"> means</w:t>
      </w:r>
      <w:r w:rsidR="007403C0">
        <w:t xml:space="preserve"> </w:t>
      </w:r>
      <w:r w:rsidR="0098748A">
        <w:t xml:space="preserve">any </w:t>
      </w:r>
      <w:r w:rsidR="008459FB">
        <w:t xml:space="preserve">transaction </w:t>
      </w:r>
      <w:r w:rsidR="009B38A0">
        <w:t xml:space="preserve">between </w:t>
      </w:r>
      <w:r w:rsidR="00700A5A">
        <w:t>the</w:t>
      </w:r>
      <w:r w:rsidR="009B38A0">
        <w:t xml:space="preserve"> Parties</w:t>
      </w:r>
      <w:r w:rsidR="009B38A0" w:rsidRPr="001C60FD">
        <w:t xml:space="preserve"> </w:t>
      </w:r>
      <w:r w:rsidR="008459FB">
        <w:t xml:space="preserve">that is </w:t>
      </w:r>
      <w:r w:rsidR="008459FB">
        <w:rPr>
          <w:rFonts w:cs="Arial"/>
          <w:szCs w:val="24"/>
        </w:rPr>
        <w:t>a Non-Deliverable FX Transaction, a Non-Deliverable Currency Option Transaction, a Non-Deliverable S</w:t>
      </w:r>
      <w:r w:rsidR="008459FB" w:rsidRPr="00683880">
        <w:rPr>
          <w:rFonts w:cs="Arial"/>
          <w:szCs w:val="24"/>
        </w:rPr>
        <w:t xml:space="preserve">wap </w:t>
      </w:r>
      <w:r w:rsidR="008459FB">
        <w:rPr>
          <w:rFonts w:cs="Arial"/>
          <w:szCs w:val="24"/>
        </w:rPr>
        <w:t>T</w:t>
      </w:r>
      <w:r w:rsidR="008459FB" w:rsidRPr="00683880">
        <w:rPr>
          <w:rFonts w:cs="Arial"/>
          <w:szCs w:val="24"/>
        </w:rPr>
        <w:t>ransaction</w:t>
      </w:r>
      <w:r w:rsidR="008459FB">
        <w:rPr>
          <w:rFonts w:cs="Arial"/>
          <w:szCs w:val="24"/>
        </w:rPr>
        <w:t xml:space="preserve"> in which the Reference Currency is IDR or any other Transaction or S</w:t>
      </w:r>
      <w:r w:rsidR="008459FB" w:rsidRPr="00683880">
        <w:rPr>
          <w:rFonts w:cs="Arial"/>
          <w:szCs w:val="24"/>
        </w:rPr>
        <w:t xml:space="preserve">wap </w:t>
      </w:r>
      <w:r w:rsidR="008459FB">
        <w:rPr>
          <w:rFonts w:cs="Arial"/>
          <w:szCs w:val="24"/>
        </w:rPr>
        <w:t>T</w:t>
      </w:r>
      <w:r w:rsidR="008459FB" w:rsidRPr="00683880">
        <w:rPr>
          <w:rFonts w:cs="Arial"/>
          <w:szCs w:val="24"/>
        </w:rPr>
        <w:t>ransaction</w:t>
      </w:r>
      <w:r w:rsidR="001C60FD">
        <w:t>:</w:t>
      </w:r>
    </w:p>
    <w:p w:rsidR="001C60FD" w:rsidRDefault="001C60FD" w:rsidP="001C60FD">
      <w:pPr>
        <w:pStyle w:val="BodyText"/>
        <w:ind w:left="720"/>
      </w:pPr>
    </w:p>
    <w:p w:rsidR="001C60FD" w:rsidRDefault="0098748A" w:rsidP="007403C0">
      <w:pPr>
        <w:pStyle w:val="BodyText"/>
        <w:numPr>
          <w:ilvl w:val="0"/>
          <w:numId w:val="5"/>
        </w:numPr>
        <w:ind w:left="720"/>
      </w:pPr>
      <w:r>
        <w:t xml:space="preserve">for which any </w:t>
      </w:r>
      <w:r w:rsidR="00457D62">
        <w:t>S</w:t>
      </w:r>
      <w:r w:rsidR="00AF021D">
        <w:t>pot</w:t>
      </w:r>
      <w:r w:rsidR="00457D62">
        <w:t xml:space="preserve"> Rate </w:t>
      </w:r>
      <w:r>
        <w:t>for a R</w:t>
      </w:r>
      <w:r w:rsidR="00457D62">
        <w:t xml:space="preserve">ate Calculation </w:t>
      </w:r>
      <w:r>
        <w:t>Date</w:t>
      </w:r>
      <w:r w:rsidR="001C60FD">
        <w:t xml:space="preserve"> is </w:t>
      </w:r>
      <w:r w:rsidR="005C1741">
        <w:t xml:space="preserve">to be </w:t>
      </w:r>
      <w:r w:rsidR="001C60FD">
        <w:t xml:space="preserve">determined, or </w:t>
      </w:r>
    </w:p>
    <w:p w:rsidR="001C60FD" w:rsidRDefault="001C60FD" w:rsidP="007403C0">
      <w:pPr>
        <w:pStyle w:val="BodyText"/>
        <w:ind w:left="720" w:hanging="720"/>
      </w:pPr>
    </w:p>
    <w:p w:rsidR="001C60FD" w:rsidRDefault="001C60FD" w:rsidP="007403C0">
      <w:pPr>
        <w:pStyle w:val="BodyText"/>
        <w:numPr>
          <w:ilvl w:val="0"/>
          <w:numId w:val="5"/>
        </w:numPr>
        <w:ind w:left="720"/>
      </w:pPr>
      <w:r>
        <w:t>for which any calculation or determination is to be made,</w:t>
      </w:r>
    </w:p>
    <w:p w:rsidR="001C60FD" w:rsidRDefault="001C60FD" w:rsidP="001C60FD">
      <w:pPr>
        <w:pStyle w:val="BodyText"/>
        <w:ind w:left="720"/>
      </w:pPr>
    </w:p>
    <w:p w:rsidR="004977DE" w:rsidRPr="00582D68" w:rsidRDefault="005C1741" w:rsidP="007403C0">
      <w:pPr>
        <w:pStyle w:val="BodyText"/>
      </w:pPr>
      <w:r>
        <w:t xml:space="preserve">in each case </w:t>
      </w:r>
      <w:r w:rsidR="0098748A">
        <w:t xml:space="preserve">by reference to </w:t>
      </w:r>
      <w:r w:rsidR="00582D68">
        <w:t xml:space="preserve">the </w:t>
      </w:r>
      <w:r w:rsidR="0098748A" w:rsidRPr="00582D68">
        <w:t>Discontinued Rate</w:t>
      </w:r>
      <w:r w:rsidR="009B38A0" w:rsidRPr="009B38A0">
        <w:rPr>
          <w:rFonts w:cs="Arial"/>
          <w:szCs w:val="24"/>
        </w:rPr>
        <w:t xml:space="preserve"> </w:t>
      </w:r>
      <w:r w:rsidR="009B38A0">
        <w:rPr>
          <w:rFonts w:cs="Arial"/>
          <w:szCs w:val="24"/>
        </w:rPr>
        <w:t xml:space="preserve">and </w:t>
      </w:r>
      <w:r w:rsidR="009B38A0">
        <w:t>that is not a Party Agreed Excluded Transaction</w:t>
      </w:r>
      <w:r w:rsidR="00582D68">
        <w:t>.</w:t>
      </w:r>
    </w:p>
    <w:p w:rsidR="001E65DD" w:rsidRPr="00582D68" w:rsidRDefault="001E65DD" w:rsidP="001C60FD">
      <w:pPr>
        <w:pStyle w:val="BodyText"/>
        <w:ind w:left="720"/>
      </w:pPr>
    </w:p>
    <w:p w:rsidR="00E606C0" w:rsidRDefault="00E606C0" w:rsidP="00E606C0">
      <w:pPr>
        <w:pStyle w:val="BodyText"/>
      </w:pPr>
      <w:r>
        <w:rPr>
          <w:b/>
        </w:rPr>
        <w:t xml:space="preserve">Affected </w:t>
      </w:r>
      <w:r w:rsidRPr="00E96B34">
        <w:rPr>
          <w:b/>
        </w:rPr>
        <w:t>Confirmation</w:t>
      </w:r>
      <w:r>
        <w:t xml:space="preserve"> means, in relation to an Affected Covered Transaction each document or other confirming evidence (including but not limited to a transaction supplement) exchanged between the Parties, executed through an electronic matching or affirmation mechanism, or otherwise effective for the purpose of confirming or evidencing such Affected Covered Transaction.</w:t>
      </w:r>
    </w:p>
    <w:p w:rsidR="00B635A8" w:rsidRDefault="00B635A8" w:rsidP="00E606C0">
      <w:pPr>
        <w:pStyle w:val="BodyText"/>
      </w:pPr>
    </w:p>
    <w:p w:rsidR="00B67D01" w:rsidRPr="00B67D01" w:rsidRDefault="00B67D01">
      <w:pPr>
        <w:pStyle w:val="BodyText"/>
      </w:pPr>
      <w:r>
        <w:rPr>
          <w:b/>
        </w:rPr>
        <w:t>Amendment Effective Date</w:t>
      </w:r>
      <w:r>
        <w:t xml:space="preserve"> means</w:t>
      </w:r>
      <w:r w:rsidR="001144F3">
        <w:t xml:space="preserve"> </w:t>
      </w:r>
      <w:r w:rsidR="00747DC8">
        <w:t>28 March</w:t>
      </w:r>
      <w:r w:rsidR="007403C0">
        <w:t xml:space="preserve"> 2014</w:t>
      </w:r>
      <w:r w:rsidR="001144F3">
        <w:t>.</w:t>
      </w:r>
    </w:p>
    <w:p w:rsidR="00B67D01" w:rsidRDefault="00B67D01">
      <w:pPr>
        <w:pStyle w:val="BodyText"/>
        <w:rPr>
          <w:b/>
        </w:rPr>
      </w:pPr>
    </w:p>
    <w:p w:rsidR="00345BB2" w:rsidRDefault="00345BB2">
      <w:pPr>
        <w:pStyle w:val="BodyText"/>
      </w:pPr>
      <w:r w:rsidRPr="00E96B34">
        <w:rPr>
          <w:b/>
        </w:rPr>
        <w:t>Fixing Date</w:t>
      </w:r>
      <w:r w:rsidR="001C60FD">
        <w:t xml:space="preserve"> means: (</w:t>
      </w:r>
      <w:proofErr w:type="spellStart"/>
      <w:r w:rsidR="001C60FD">
        <w:t>i</w:t>
      </w:r>
      <w:proofErr w:type="spellEnd"/>
      <w:r w:rsidR="001C60FD">
        <w:t>) in relation to a R</w:t>
      </w:r>
      <w:r w:rsidR="007403C0">
        <w:t>ate Calculation</w:t>
      </w:r>
      <w:r w:rsidR="001C60FD">
        <w:t xml:space="preserve"> Date for an Affected Covered Tran</w:t>
      </w:r>
      <w:r w:rsidR="007403C0">
        <w:t xml:space="preserve">saction </w:t>
      </w:r>
      <w:r w:rsidR="00AF021D">
        <w:t>under limb (</w:t>
      </w:r>
      <w:proofErr w:type="spellStart"/>
      <w:r w:rsidR="00AF021D">
        <w:t>i</w:t>
      </w:r>
      <w:proofErr w:type="spellEnd"/>
      <w:r w:rsidR="00AF021D">
        <w:t>) of the definition of</w:t>
      </w:r>
      <w:r w:rsidR="00623206">
        <w:t xml:space="preserve"> Affected Covered Transaction</w:t>
      </w:r>
      <w:r w:rsidR="007403C0">
        <w:t>,</w:t>
      </w:r>
      <w:r w:rsidR="001C60FD">
        <w:t xml:space="preserve"> that R</w:t>
      </w:r>
      <w:r w:rsidR="007403C0">
        <w:t>ate Calculation</w:t>
      </w:r>
      <w:r w:rsidR="001C60FD">
        <w:t xml:space="preserve"> Date, as per the terms of the </w:t>
      </w:r>
      <w:r w:rsidR="009E58CD">
        <w:t xml:space="preserve">relevant </w:t>
      </w:r>
      <w:r w:rsidR="00E606C0">
        <w:t xml:space="preserve">Affected </w:t>
      </w:r>
      <w:r w:rsidR="001C60FD">
        <w:t xml:space="preserve">Confirmation therefor, or (ii) in relation to </w:t>
      </w:r>
      <w:r w:rsidR="00AF021D">
        <w:t>a</w:t>
      </w:r>
      <w:r w:rsidR="001E65DD">
        <w:t>n Affected Covered Transaction under limb (ii) of the definition thereof</w:t>
      </w:r>
      <w:r w:rsidR="00AF021D">
        <w:t>, the date on which the</w:t>
      </w:r>
      <w:r w:rsidR="001E65DD">
        <w:t xml:space="preserve"> Discontinued Rate is to be determined, as per the terms of the </w:t>
      </w:r>
      <w:r w:rsidR="009E58CD">
        <w:t xml:space="preserve">relevant </w:t>
      </w:r>
      <w:r w:rsidR="00E606C0">
        <w:t xml:space="preserve">Affected </w:t>
      </w:r>
      <w:r w:rsidR="00AF021D">
        <w:t>Confirmation therefor</w:t>
      </w:r>
      <w:r w:rsidR="001C60FD">
        <w:t>.</w:t>
      </w:r>
    </w:p>
    <w:p w:rsidR="00A80C70" w:rsidRDefault="00A80C70">
      <w:pPr>
        <w:pStyle w:val="BodyText"/>
      </w:pPr>
    </w:p>
    <w:p w:rsidR="00345BB2" w:rsidRDefault="00A80C70">
      <w:pPr>
        <w:pStyle w:val="BodyText"/>
        <w:rPr>
          <w:rFonts w:cs="Arial"/>
          <w:bCs/>
          <w:spacing w:val="-1"/>
        </w:rPr>
      </w:pPr>
      <w:r w:rsidRPr="00A80C70">
        <w:rPr>
          <w:rFonts w:cs="Arial"/>
          <w:b/>
          <w:szCs w:val="24"/>
        </w:rPr>
        <w:t>Non-Deliverable Swap Transaction</w:t>
      </w:r>
      <w:r>
        <w:rPr>
          <w:rFonts w:cs="Arial"/>
          <w:szCs w:val="24"/>
        </w:rPr>
        <w:t xml:space="preserve"> means a </w:t>
      </w:r>
      <w:r>
        <w:t xml:space="preserve">non-deliverable swap transaction using </w:t>
      </w:r>
      <w:r w:rsidRPr="00C16DBB">
        <w:rPr>
          <w:rFonts w:cs="Arial"/>
          <w:bCs/>
          <w:spacing w:val="-1"/>
        </w:rPr>
        <w:t>the revised form of confirmation that incorporates</w:t>
      </w:r>
      <w:r>
        <w:rPr>
          <w:rFonts w:cs="Arial"/>
          <w:bCs/>
          <w:spacing w:val="-1"/>
        </w:rPr>
        <w:t>,</w:t>
      </w:r>
      <w:r w:rsidRPr="00C16DBB">
        <w:rPr>
          <w:rFonts w:cs="Arial"/>
          <w:bCs/>
          <w:spacing w:val="-1"/>
        </w:rPr>
        <w:t xml:space="preserve"> inter alia</w:t>
      </w:r>
      <w:r>
        <w:rPr>
          <w:rFonts w:cs="Arial"/>
          <w:bCs/>
          <w:spacing w:val="-1"/>
        </w:rPr>
        <w:t>,</w:t>
      </w:r>
      <w:r w:rsidRPr="00C16DBB">
        <w:rPr>
          <w:rFonts w:cs="Arial"/>
          <w:bCs/>
          <w:spacing w:val="-1"/>
        </w:rPr>
        <w:t xml:space="preserve"> the Non-Deliverable Swap Transaction Standard Terms Supplement, as published by ISDA </w:t>
      </w:r>
      <w:r w:rsidR="009C55BE">
        <w:rPr>
          <w:rFonts w:cs="Arial"/>
          <w:bCs/>
          <w:spacing w:val="-1"/>
        </w:rPr>
        <w:t xml:space="preserve">effective </w:t>
      </w:r>
      <w:r w:rsidRPr="00C16DBB">
        <w:rPr>
          <w:rFonts w:cs="Arial"/>
          <w:bCs/>
          <w:spacing w:val="-1"/>
        </w:rPr>
        <w:t xml:space="preserve">on </w:t>
      </w:r>
      <w:r w:rsidR="009C55BE">
        <w:rPr>
          <w:rFonts w:cs="Arial"/>
          <w:bCs/>
          <w:spacing w:val="-1"/>
        </w:rPr>
        <w:t>August 6, 2013</w:t>
      </w:r>
      <w:r>
        <w:rPr>
          <w:rFonts w:cs="Arial"/>
          <w:bCs/>
          <w:spacing w:val="-1"/>
        </w:rPr>
        <w:t xml:space="preserve"> (“</w:t>
      </w:r>
      <w:r w:rsidRPr="00A80C70">
        <w:rPr>
          <w:rFonts w:cs="Arial"/>
          <w:b/>
          <w:bCs/>
          <w:spacing w:val="-1"/>
        </w:rPr>
        <w:t>201</w:t>
      </w:r>
      <w:r w:rsidR="009C55BE">
        <w:rPr>
          <w:rFonts w:cs="Arial"/>
          <w:b/>
          <w:bCs/>
          <w:spacing w:val="-1"/>
        </w:rPr>
        <w:t>3</w:t>
      </w:r>
      <w:r w:rsidRPr="00A80C70">
        <w:rPr>
          <w:rFonts w:cs="Arial"/>
          <w:b/>
          <w:bCs/>
          <w:spacing w:val="-1"/>
        </w:rPr>
        <w:t xml:space="preserve"> NDS</w:t>
      </w:r>
      <w:r w:rsidR="00E606C0">
        <w:rPr>
          <w:rFonts w:cs="Arial"/>
          <w:b/>
          <w:bCs/>
          <w:spacing w:val="-1"/>
        </w:rPr>
        <w:t>T Standard Terms Supplement</w:t>
      </w:r>
      <w:r>
        <w:rPr>
          <w:rFonts w:cs="Arial"/>
          <w:bCs/>
          <w:spacing w:val="-1"/>
        </w:rPr>
        <w:t>”)</w:t>
      </w:r>
      <w:r w:rsidR="009C55BE">
        <w:rPr>
          <w:rFonts w:cs="Arial"/>
          <w:bCs/>
          <w:spacing w:val="-1"/>
        </w:rPr>
        <w:t>.</w:t>
      </w:r>
    </w:p>
    <w:p w:rsidR="009C55BE" w:rsidRDefault="009C55BE">
      <w:pPr>
        <w:pStyle w:val="BodyText"/>
      </w:pPr>
    </w:p>
    <w:p w:rsidR="003B603B" w:rsidRDefault="00345BB2">
      <w:pPr>
        <w:pStyle w:val="BodyText"/>
      </w:pPr>
      <w:r w:rsidRPr="00E96B34">
        <w:rPr>
          <w:b/>
        </w:rPr>
        <w:lastRenderedPageBreak/>
        <w:t>Party Agreed Excluded Transaction</w:t>
      </w:r>
      <w:r w:rsidR="00E66244">
        <w:t xml:space="preserve"> means any </w:t>
      </w:r>
      <w:r w:rsidR="00623206">
        <w:t xml:space="preserve">Affected Covered </w:t>
      </w:r>
      <w:r w:rsidR="00E66244">
        <w:t xml:space="preserve">Transaction that </w:t>
      </w:r>
      <w:r w:rsidR="00623206">
        <w:t>the</w:t>
      </w:r>
      <w:r w:rsidR="00E66244">
        <w:t xml:space="preserve"> Parties agree (including for the avoidance of doubt in the </w:t>
      </w:r>
      <w:r w:rsidR="00A0654F">
        <w:t xml:space="preserve">Affected </w:t>
      </w:r>
      <w:r w:rsidR="00E606C0">
        <w:t>Confirmation</w:t>
      </w:r>
      <w:r w:rsidR="00E66244">
        <w:t xml:space="preserve">) shall not be </w:t>
      </w:r>
      <w:r w:rsidR="003C4E16">
        <w:t xml:space="preserve">an </w:t>
      </w:r>
      <w:r w:rsidR="00E66244">
        <w:t>Affected Covered Transaction.</w:t>
      </w:r>
    </w:p>
    <w:p w:rsidR="003B603B" w:rsidRDefault="003B603B">
      <w:pPr>
        <w:pStyle w:val="BodyText"/>
      </w:pPr>
    </w:p>
    <w:p w:rsidR="003B603B" w:rsidRDefault="003B603B" w:rsidP="003B603B">
      <w:pPr>
        <w:pStyle w:val="BodyText"/>
      </w:pPr>
      <w:r w:rsidRPr="003B603B">
        <w:rPr>
          <w:b/>
        </w:rPr>
        <w:t>201</w:t>
      </w:r>
      <w:r>
        <w:rPr>
          <w:b/>
        </w:rPr>
        <w:t>3</w:t>
      </w:r>
      <w:r w:rsidRPr="003B603B">
        <w:rPr>
          <w:b/>
        </w:rPr>
        <w:t xml:space="preserve"> IDR/USD NDF Template Terms</w:t>
      </w:r>
      <w:r>
        <w:t xml:space="preserve"> means the </w:t>
      </w:r>
      <w:r w:rsidR="003C4E16">
        <w:t xml:space="preserve">SFEMC/EMTA/FXC </w:t>
      </w:r>
      <w:r>
        <w:t>Template Terms for IDR/USD Non-Deliverable FX Transactions</w:t>
      </w:r>
      <w:r w:rsidR="003C4E16">
        <w:t xml:space="preserve"> effective August 6, 2013</w:t>
      </w:r>
      <w:r>
        <w:t>.</w:t>
      </w:r>
    </w:p>
    <w:p w:rsidR="00582D68" w:rsidRDefault="00582D68" w:rsidP="003B603B">
      <w:pPr>
        <w:pStyle w:val="BodyText"/>
      </w:pPr>
    </w:p>
    <w:p w:rsidR="003B603B" w:rsidRDefault="003B603B" w:rsidP="003B603B">
      <w:pPr>
        <w:pStyle w:val="BodyText"/>
      </w:pPr>
      <w:r w:rsidRPr="003B603B">
        <w:rPr>
          <w:b/>
        </w:rPr>
        <w:t>201</w:t>
      </w:r>
      <w:r>
        <w:rPr>
          <w:b/>
        </w:rPr>
        <w:t>3</w:t>
      </w:r>
      <w:r w:rsidRPr="003B603B">
        <w:rPr>
          <w:b/>
        </w:rPr>
        <w:t xml:space="preserve"> IDR/USD ND</w:t>
      </w:r>
      <w:r>
        <w:rPr>
          <w:b/>
        </w:rPr>
        <w:t>O</w:t>
      </w:r>
      <w:r w:rsidRPr="003B603B">
        <w:rPr>
          <w:b/>
        </w:rPr>
        <w:t xml:space="preserve"> Template Terms</w:t>
      </w:r>
      <w:r>
        <w:t xml:space="preserve"> means the</w:t>
      </w:r>
      <w:r w:rsidR="003C4E16">
        <w:t xml:space="preserve"> EMTA</w:t>
      </w:r>
      <w:r>
        <w:t xml:space="preserve"> Template Terms for IDR/USD Non-Deliverable Currency Option Transactions </w:t>
      </w:r>
      <w:r w:rsidR="003C4E16">
        <w:t>effective August 6, 2013</w:t>
      </w:r>
      <w:r>
        <w:t>.</w:t>
      </w:r>
    </w:p>
    <w:p w:rsidR="003B603B" w:rsidRDefault="003B603B" w:rsidP="003B603B">
      <w:pPr>
        <w:pStyle w:val="BodyText"/>
      </w:pPr>
    </w:p>
    <w:p w:rsidR="00345BB2" w:rsidRDefault="003B603B">
      <w:pPr>
        <w:pStyle w:val="BodyText"/>
      </w:pPr>
      <w:r w:rsidRPr="003B603B">
        <w:rPr>
          <w:b/>
        </w:rPr>
        <w:t>2014 IDR/USD NDF Template Terms</w:t>
      </w:r>
      <w:r>
        <w:t xml:space="preserve"> means the</w:t>
      </w:r>
      <w:r w:rsidR="003C4E16">
        <w:t xml:space="preserve"> SFEMC/EMTA/FXC</w:t>
      </w:r>
      <w:r>
        <w:t xml:space="preserve"> Template Terms for IDR/USD Non-Deliverable FX Transactions </w:t>
      </w:r>
      <w:r w:rsidR="003C4E16">
        <w:t xml:space="preserve">effective </w:t>
      </w:r>
      <w:r w:rsidR="00747DC8">
        <w:t>28 March 2014</w:t>
      </w:r>
      <w:r>
        <w:t>.</w:t>
      </w:r>
    </w:p>
    <w:p w:rsidR="003B603B" w:rsidRDefault="003B603B">
      <w:pPr>
        <w:pStyle w:val="BodyText"/>
      </w:pPr>
    </w:p>
    <w:p w:rsidR="003B603B" w:rsidRDefault="003B603B" w:rsidP="003B603B">
      <w:pPr>
        <w:pStyle w:val="BodyText"/>
      </w:pPr>
      <w:r w:rsidRPr="003B603B">
        <w:rPr>
          <w:b/>
        </w:rPr>
        <w:t>201</w:t>
      </w:r>
      <w:r>
        <w:rPr>
          <w:b/>
        </w:rPr>
        <w:t>4</w:t>
      </w:r>
      <w:r w:rsidRPr="003B603B">
        <w:rPr>
          <w:b/>
        </w:rPr>
        <w:t xml:space="preserve"> IDR/USD ND</w:t>
      </w:r>
      <w:r>
        <w:rPr>
          <w:b/>
        </w:rPr>
        <w:t>O</w:t>
      </w:r>
      <w:r w:rsidRPr="003B603B">
        <w:rPr>
          <w:b/>
        </w:rPr>
        <w:t xml:space="preserve"> Template Terms</w:t>
      </w:r>
      <w:r>
        <w:t xml:space="preserve"> means the </w:t>
      </w:r>
      <w:r w:rsidR="003C4E16">
        <w:t xml:space="preserve">EMTA </w:t>
      </w:r>
      <w:r>
        <w:t>Template Terms for IDR/USD Non-Deliverable Currency Option Transactions</w:t>
      </w:r>
      <w:r w:rsidR="003C4E16">
        <w:t xml:space="preserve"> effective </w:t>
      </w:r>
      <w:r w:rsidR="00747DC8">
        <w:t>28 March 2014</w:t>
      </w:r>
      <w:r>
        <w:t>.</w:t>
      </w:r>
    </w:p>
    <w:p w:rsidR="00465C80" w:rsidRDefault="00465C80" w:rsidP="003B603B">
      <w:pPr>
        <w:pStyle w:val="BodyText"/>
      </w:pPr>
    </w:p>
    <w:p w:rsidR="003B603B" w:rsidRDefault="003B603B">
      <w:pPr>
        <w:pStyle w:val="BodyText"/>
      </w:pPr>
    </w:p>
    <w:p w:rsidR="00345BB2" w:rsidRDefault="00345BB2">
      <w:pPr>
        <w:pStyle w:val="BodyText"/>
      </w:pPr>
    </w:p>
    <w:p w:rsidR="00F82630" w:rsidRDefault="00963A85" w:rsidP="00582D68">
      <w:r>
        <w:br w:type="page"/>
      </w:r>
      <w:r w:rsidR="00F82630">
        <w:lastRenderedPageBreak/>
        <w:t>IN WITNESS WHEREOF, the Parties hereto have caused this Amendment to be executed by one or more of its duly authorized agents or officers.</w:t>
      </w:r>
    </w:p>
    <w:p w:rsidR="00F82630" w:rsidRDefault="00F82630">
      <w:pPr>
        <w:tabs>
          <w:tab w:val="left" w:pos="-720"/>
        </w:tabs>
        <w:suppressAutoHyphens/>
      </w:pPr>
    </w:p>
    <w:p w:rsidR="00F82630" w:rsidRDefault="00F82630">
      <w:pPr>
        <w:pStyle w:val="toa"/>
        <w:tabs>
          <w:tab w:val="clear" w:pos="0"/>
          <w:tab w:val="clear" w:pos="9000"/>
          <w:tab w:val="clear" w:pos="9360"/>
          <w:tab w:val="left" w:pos="-720"/>
        </w:tabs>
        <w:rPr>
          <w:rFonts w:ascii="Arial" w:hAnsi="Arial"/>
        </w:rPr>
      </w:pPr>
    </w:p>
    <w:p w:rsidR="00F82630" w:rsidRDefault="00F82630">
      <w:pPr>
        <w:pStyle w:val="toa"/>
        <w:tabs>
          <w:tab w:val="clear" w:pos="0"/>
          <w:tab w:val="clear" w:pos="9000"/>
          <w:tab w:val="clear" w:pos="9360"/>
          <w:tab w:val="left" w:pos="-720"/>
        </w:tabs>
        <w:rPr>
          <w:rFonts w:ascii="Arial" w:hAnsi="Arial"/>
          <w:u w:val="single"/>
        </w:rPr>
      </w:pPr>
      <w:r>
        <w:rPr>
          <w:rFonts w:ascii="Arial" w:hAnsi="Arial"/>
        </w:rPr>
        <w:t>Name of Institution:</w:t>
      </w:r>
      <w:r>
        <w:rPr>
          <w:rFonts w:ascii="Arial" w:hAnsi="Arial"/>
        </w:rPr>
        <w:tab/>
      </w:r>
      <w:r w:rsidR="00D52700">
        <w:rPr>
          <w:rFonts w:ascii="Arial" w:hAnsi="Arial"/>
        </w:rPr>
        <w:tab/>
      </w:r>
      <w:r>
        <w:rPr>
          <w:rFonts w:ascii="Arial" w:hAnsi="Arial"/>
          <w:u w:val="single"/>
        </w:rPr>
        <w:tab/>
      </w:r>
      <w:r>
        <w:rPr>
          <w:rFonts w:ascii="Arial" w:hAnsi="Arial"/>
          <w:u w:val="single"/>
        </w:rPr>
        <w:tab/>
      </w:r>
      <w:r>
        <w:rPr>
          <w:rFonts w:ascii="Arial" w:hAnsi="Arial"/>
          <w:u w:val="single"/>
        </w:rPr>
        <w:tab/>
      </w:r>
      <w:r>
        <w:rPr>
          <w:rFonts w:ascii="Arial" w:hAnsi="Arial"/>
          <w:u w:val="single"/>
        </w:rPr>
        <w:tab/>
      </w:r>
      <w:r>
        <w:rPr>
          <w:rFonts w:ascii="Arial" w:hAnsi="Arial"/>
          <w:u w:val="single"/>
        </w:rPr>
        <w:tab/>
      </w:r>
      <w:r>
        <w:rPr>
          <w:rFonts w:ascii="Arial" w:hAnsi="Arial"/>
          <w:u w:val="single"/>
        </w:rPr>
        <w:tab/>
      </w:r>
      <w:r>
        <w:rPr>
          <w:rFonts w:ascii="Arial" w:hAnsi="Arial"/>
          <w:u w:val="single"/>
        </w:rPr>
        <w:tab/>
        <w:t>_____</w:t>
      </w:r>
    </w:p>
    <w:p w:rsidR="00F82630" w:rsidRDefault="00F82630">
      <w:pPr>
        <w:pStyle w:val="toa"/>
        <w:tabs>
          <w:tab w:val="clear" w:pos="0"/>
          <w:tab w:val="clear" w:pos="9000"/>
          <w:tab w:val="clear" w:pos="9360"/>
          <w:tab w:val="left" w:pos="-720"/>
        </w:tabs>
        <w:rPr>
          <w:rFonts w:ascii="Arial" w:hAnsi="Arial"/>
        </w:rPr>
      </w:pPr>
    </w:p>
    <w:p w:rsidR="00F82630" w:rsidRDefault="00F82630">
      <w:pPr>
        <w:pStyle w:val="toa"/>
        <w:tabs>
          <w:tab w:val="clear" w:pos="0"/>
          <w:tab w:val="clear" w:pos="9000"/>
          <w:tab w:val="clear" w:pos="9360"/>
          <w:tab w:val="left" w:pos="-720"/>
        </w:tabs>
        <w:rPr>
          <w:rFonts w:ascii="Arial" w:hAnsi="Arial"/>
          <w:u w:val="single"/>
        </w:rPr>
      </w:pPr>
      <w:r>
        <w:rPr>
          <w:rFonts w:ascii="Arial" w:hAnsi="Arial"/>
        </w:rPr>
        <w:t xml:space="preserve">Authorized Signature(s): </w:t>
      </w:r>
      <w:r>
        <w:rPr>
          <w:rFonts w:ascii="Arial" w:hAnsi="Arial"/>
        </w:rPr>
        <w:tab/>
      </w:r>
      <w:r>
        <w:rPr>
          <w:rFonts w:ascii="Arial" w:hAnsi="Arial"/>
          <w:u w:val="single"/>
        </w:rPr>
        <w:tab/>
      </w:r>
      <w:r>
        <w:rPr>
          <w:rFonts w:ascii="Arial" w:hAnsi="Arial"/>
          <w:u w:val="single"/>
        </w:rPr>
        <w:tab/>
      </w:r>
      <w:r>
        <w:rPr>
          <w:rFonts w:ascii="Arial" w:hAnsi="Arial"/>
          <w:u w:val="single"/>
        </w:rPr>
        <w:tab/>
      </w:r>
      <w:r>
        <w:rPr>
          <w:rFonts w:ascii="Arial" w:hAnsi="Arial"/>
          <w:u w:val="single"/>
        </w:rPr>
        <w:tab/>
      </w:r>
      <w:r>
        <w:rPr>
          <w:rFonts w:ascii="Arial" w:hAnsi="Arial"/>
          <w:u w:val="single"/>
        </w:rPr>
        <w:tab/>
      </w:r>
      <w:r>
        <w:rPr>
          <w:rFonts w:ascii="Arial" w:hAnsi="Arial"/>
          <w:u w:val="single"/>
        </w:rPr>
        <w:tab/>
      </w:r>
      <w:r>
        <w:rPr>
          <w:rFonts w:ascii="Arial" w:hAnsi="Arial"/>
          <w:u w:val="single"/>
        </w:rPr>
        <w:tab/>
      </w:r>
      <w:r>
        <w:rPr>
          <w:rFonts w:ascii="Arial" w:hAnsi="Arial"/>
          <w:u w:val="single"/>
        </w:rPr>
        <w:tab/>
      </w:r>
    </w:p>
    <w:p w:rsidR="00F82630" w:rsidRDefault="00F82630">
      <w:pPr>
        <w:pStyle w:val="toa"/>
        <w:tabs>
          <w:tab w:val="clear" w:pos="0"/>
          <w:tab w:val="clear" w:pos="9000"/>
          <w:tab w:val="clear" w:pos="9360"/>
        </w:tabs>
        <w:suppressAutoHyphens w:val="0"/>
        <w:rPr>
          <w:rFonts w:ascii="Arial" w:hAnsi="Arial"/>
        </w:rPr>
      </w:pPr>
    </w:p>
    <w:p w:rsidR="00F82630" w:rsidRDefault="00F82630">
      <w:pPr>
        <w:pStyle w:val="toa"/>
        <w:tabs>
          <w:tab w:val="clear" w:pos="0"/>
          <w:tab w:val="clear" w:pos="9000"/>
          <w:tab w:val="clear" w:pos="9360"/>
        </w:tabs>
        <w:suppressAutoHyphens w:val="0"/>
        <w:rPr>
          <w:rFonts w:ascii="Arial" w:hAnsi="Arial"/>
        </w:rPr>
      </w:pPr>
      <w:r>
        <w:rPr>
          <w:rFonts w:ascii="Arial" w:hAnsi="Arial"/>
        </w:rPr>
        <w:t>Name(s)</w:t>
      </w:r>
      <w:r w:rsidR="00B931B9" w:rsidRPr="00B931B9">
        <w:rPr>
          <w:rFonts w:ascii="Arial" w:hAnsi="Arial"/>
        </w:rPr>
        <w:t xml:space="preserve"> </w:t>
      </w:r>
      <w:r w:rsidR="00B931B9">
        <w:rPr>
          <w:rFonts w:ascii="Arial" w:hAnsi="Arial"/>
        </w:rPr>
        <w:t>and Title(s)</w:t>
      </w:r>
      <w:r>
        <w:rPr>
          <w:rFonts w:ascii="Arial" w:hAnsi="Arial"/>
        </w:rPr>
        <w:t xml:space="preserve"> of</w:t>
      </w:r>
    </w:p>
    <w:p w:rsidR="00F82630" w:rsidRDefault="00F82630">
      <w:pPr>
        <w:pStyle w:val="toa"/>
        <w:tabs>
          <w:tab w:val="clear" w:pos="0"/>
          <w:tab w:val="clear" w:pos="9000"/>
          <w:tab w:val="clear" w:pos="9360"/>
        </w:tabs>
        <w:suppressAutoHyphens w:val="0"/>
        <w:rPr>
          <w:rFonts w:ascii="Arial" w:hAnsi="Arial"/>
          <w:u w:val="single"/>
        </w:rPr>
      </w:pPr>
      <w:r>
        <w:rPr>
          <w:rFonts w:ascii="Arial" w:hAnsi="Arial"/>
        </w:rPr>
        <w:t xml:space="preserve">Authorized </w:t>
      </w:r>
      <w:r w:rsidR="001D121A">
        <w:rPr>
          <w:rFonts w:ascii="Arial" w:hAnsi="Arial"/>
        </w:rPr>
        <w:t>Signatory(</w:t>
      </w:r>
      <w:proofErr w:type="spellStart"/>
      <w:r>
        <w:rPr>
          <w:rFonts w:ascii="Arial" w:hAnsi="Arial"/>
        </w:rPr>
        <w:t>ies</w:t>
      </w:r>
      <w:proofErr w:type="spellEnd"/>
      <w:r>
        <w:rPr>
          <w:rFonts w:ascii="Arial" w:hAnsi="Arial"/>
        </w:rPr>
        <w:t>):</w:t>
      </w:r>
      <w:r>
        <w:rPr>
          <w:rFonts w:ascii="Arial" w:hAnsi="Arial"/>
        </w:rPr>
        <w:tab/>
      </w:r>
      <w:r>
        <w:rPr>
          <w:rFonts w:ascii="Arial" w:hAnsi="Arial"/>
          <w:u w:val="single"/>
        </w:rPr>
        <w:tab/>
      </w:r>
      <w:r>
        <w:rPr>
          <w:rFonts w:ascii="Arial" w:hAnsi="Arial"/>
          <w:u w:val="single"/>
        </w:rPr>
        <w:tab/>
      </w:r>
      <w:r>
        <w:rPr>
          <w:rFonts w:ascii="Arial" w:hAnsi="Arial"/>
          <w:u w:val="single"/>
        </w:rPr>
        <w:tab/>
      </w:r>
      <w:r>
        <w:rPr>
          <w:rFonts w:ascii="Arial" w:hAnsi="Arial"/>
          <w:u w:val="single"/>
        </w:rPr>
        <w:tab/>
      </w:r>
      <w:r>
        <w:rPr>
          <w:rFonts w:ascii="Arial" w:hAnsi="Arial"/>
          <w:u w:val="single"/>
        </w:rPr>
        <w:tab/>
      </w:r>
      <w:r>
        <w:rPr>
          <w:rFonts w:ascii="Arial" w:hAnsi="Arial"/>
          <w:u w:val="single"/>
        </w:rPr>
        <w:tab/>
      </w:r>
      <w:r>
        <w:rPr>
          <w:rFonts w:ascii="Arial" w:hAnsi="Arial"/>
          <w:u w:val="single"/>
        </w:rPr>
        <w:tab/>
      </w:r>
      <w:r>
        <w:rPr>
          <w:rFonts w:ascii="Arial" w:hAnsi="Arial"/>
          <w:u w:val="single"/>
        </w:rPr>
        <w:tab/>
      </w:r>
    </w:p>
    <w:p w:rsidR="00C20670" w:rsidRDefault="00C20670">
      <w:pPr>
        <w:pStyle w:val="toa"/>
        <w:tabs>
          <w:tab w:val="clear" w:pos="0"/>
          <w:tab w:val="clear" w:pos="9000"/>
          <w:tab w:val="clear" w:pos="9360"/>
        </w:tabs>
        <w:suppressAutoHyphens w:val="0"/>
        <w:rPr>
          <w:rFonts w:ascii="Arial" w:hAnsi="Arial"/>
          <w:u w:val="single"/>
        </w:rPr>
      </w:pPr>
    </w:p>
    <w:p w:rsidR="00C20670" w:rsidRDefault="00C20670" w:rsidP="00C20670">
      <w:pPr>
        <w:pStyle w:val="toa"/>
        <w:tabs>
          <w:tab w:val="clear" w:pos="0"/>
          <w:tab w:val="clear" w:pos="9000"/>
          <w:tab w:val="clear" w:pos="9360"/>
          <w:tab w:val="left" w:pos="-720"/>
        </w:tabs>
        <w:rPr>
          <w:rFonts w:ascii="Arial" w:hAnsi="Arial"/>
          <w:u w:val="single"/>
        </w:rPr>
      </w:pPr>
      <w:r>
        <w:rPr>
          <w:rFonts w:ascii="Arial" w:hAnsi="Arial"/>
        </w:rPr>
        <w:t xml:space="preserve">Authorized Signature(s): </w:t>
      </w:r>
      <w:r>
        <w:rPr>
          <w:rFonts w:ascii="Arial" w:hAnsi="Arial"/>
        </w:rPr>
        <w:tab/>
      </w:r>
      <w:r>
        <w:rPr>
          <w:rFonts w:ascii="Arial" w:hAnsi="Arial"/>
          <w:u w:val="single"/>
        </w:rPr>
        <w:tab/>
      </w:r>
      <w:r>
        <w:rPr>
          <w:rFonts w:ascii="Arial" w:hAnsi="Arial"/>
          <w:u w:val="single"/>
        </w:rPr>
        <w:tab/>
      </w:r>
      <w:r>
        <w:rPr>
          <w:rFonts w:ascii="Arial" w:hAnsi="Arial"/>
          <w:u w:val="single"/>
        </w:rPr>
        <w:tab/>
      </w:r>
      <w:r>
        <w:rPr>
          <w:rFonts w:ascii="Arial" w:hAnsi="Arial"/>
          <w:u w:val="single"/>
        </w:rPr>
        <w:tab/>
      </w:r>
      <w:r>
        <w:rPr>
          <w:rFonts w:ascii="Arial" w:hAnsi="Arial"/>
          <w:u w:val="single"/>
        </w:rPr>
        <w:tab/>
      </w:r>
      <w:r>
        <w:rPr>
          <w:rFonts w:ascii="Arial" w:hAnsi="Arial"/>
          <w:u w:val="single"/>
        </w:rPr>
        <w:tab/>
      </w:r>
      <w:r>
        <w:rPr>
          <w:rFonts w:ascii="Arial" w:hAnsi="Arial"/>
          <w:u w:val="single"/>
        </w:rPr>
        <w:tab/>
      </w:r>
      <w:r>
        <w:rPr>
          <w:rFonts w:ascii="Arial" w:hAnsi="Arial"/>
          <w:u w:val="single"/>
        </w:rPr>
        <w:tab/>
      </w:r>
    </w:p>
    <w:p w:rsidR="00C20670" w:rsidRDefault="00C20670" w:rsidP="00C20670">
      <w:pPr>
        <w:pStyle w:val="toa"/>
        <w:tabs>
          <w:tab w:val="clear" w:pos="0"/>
          <w:tab w:val="clear" w:pos="9000"/>
          <w:tab w:val="clear" w:pos="9360"/>
        </w:tabs>
        <w:suppressAutoHyphens w:val="0"/>
        <w:rPr>
          <w:rFonts w:ascii="Arial" w:hAnsi="Arial"/>
        </w:rPr>
      </w:pPr>
    </w:p>
    <w:p w:rsidR="00C20670" w:rsidRDefault="00C20670" w:rsidP="00C20670">
      <w:pPr>
        <w:pStyle w:val="toa"/>
        <w:tabs>
          <w:tab w:val="clear" w:pos="0"/>
          <w:tab w:val="clear" w:pos="9000"/>
          <w:tab w:val="clear" w:pos="9360"/>
        </w:tabs>
        <w:suppressAutoHyphens w:val="0"/>
        <w:rPr>
          <w:rFonts w:ascii="Arial" w:hAnsi="Arial"/>
        </w:rPr>
      </w:pPr>
      <w:r>
        <w:rPr>
          <w:rFonts w:ascii="Arial" w:hAnsi="Arial"/>
        </w:rPr>
        <w:t xml:space="preserve">Name(s) </w:t>
      </w:r>
      <w:r w:rsidR="00B931B9">
        <w:rPr>
          <w:rFonts w:ascii="Arial" w:hAnsi="Arial"/>
        </w:rPr>
        <w:t>and Title(s)</w:t>
      </w:r>
      <w:r w:rsidR="00D52700">
        <w:rPr>
          <w:rFonts w:ascii="Arial" w:hAnsi="Arial"/>
        </w:rPr>
        <w:t xml:space="preserve"> </w:t>
      </w:r>
      <w:r>
        <w:rPr>
          <w:rFonts w:ascii="Arial" w:hAnsi="Arial"/>
        </w:rPr>
        <w:t>of</w:t>
      </w:r>
    </w:p>
    <w:p w:rsidR="00C20670" w:rsidRDefault="00C20670" w:rsidP="00C20670">
      <w:pPr>
        <w:pStyle w:val="toa"/>
        <w:tabs>
          <w:tab w:val="clear" w:pos="0"/>
          <w:tab w:val="clear" w:pos="9000"/>
          <w:tab w:val="clear" w:pos="9360"/>
        </w:tabs>
        <w:suppressAutoHyphens w:val="0"/>
        <w:rPr>
          <w:rFonts w:ascii="Arial" w:hAnsi="Arial"/>
          <w:u w:val="single"/>
        </w:rPr>
      </w:pPr>
      <w:r>
        <w:rPr>
          <w:rFonts w:ascii="Arial" w:hAnsi="Arial"/>
        </w:rPr>
        <w:t xml:space="preserve">Authorized </w:t>
      </w:r>
      <w:r w:rsidR="001D121A">
        <w:rPr>
          <w:rFonts w:ascii="Arial" w:hAnsi="Arial"/>
        </w:rPr>
        <w:t>Signatory(</w:t>
      </w:r>
      <w:proofErr w:type="spellStart"/>
      <w:r>
        <w:rPr>
          <w:rFonts w:ascii="Arial" w:hAnsi="Arial"/>
        </w:rPr>
        <w:t>ies</w:t>
      </w:r>
      <w:proofErr w:type="spellEnd"/>
      <w:r>
        <w:rPr>
          <w:rFonts w:ascii="Arial" w:hAnsi="Arial"/>
        </w:rPr>
        <w:t>):</w:t>
      </w:r>
      <w:r>
        <w:rPr>
          <w:rFonts w:ascii="Arial" w:hAnsi="Arial"/>
        </w:rPr>
        <w:tab/>
      </w:r>
      <w:r>
        <w:rPr>
          <w:rFonts w:ascii="Arial" w:hAnsi="Arial"/>
          <w:u w:val="single"/>
        </w:rPr>
        <w:tab/>
      </w:r>
      <w:r>
        <w:rPr>
          <w:rFonts w:ascii="Arial" w:hAnsi="Arial"/>
          <w:u w:val="single"/>
        </w:rPr>
        <w:tab/>
      </w:r>
      <w:r>
        <w:rPr>
          <w:rFonts w:ascii="Arial" w:hAnsi="Arial"/>
          <w:u w:val="single"/>
        </w:rPr>
        <w:tab/>
      </w:r>
      <w:r>
        <w:rPr>
          <w:rFonts w:ascii="Arial" w:hAnsi="Arial"/>
          <w:u w:val="single"/>
        </w:rPr>
        <w:tab/>
      </w:r>
      <w:r>
        <w:rPr>
          <w:rFonts w:ascii="Arial" w:hAnsi="Arial"/>
          <w:u w:val="single"/>
        </w:rPr>
        <w:tab/>
      </w:r>
      <w:r>
        <w:rPr>
          <w:rFonts w:ascii="Arial" w:hAnsi="Arial"/>
          <w:u w:val="single"/>
        </w:rPr>
        <w:tab/>
      </w:r>
      <w:r>
        <w:rPr>
          <w:rFonts w:ascii="Arial" w:hAnsi="Arial"/>
          <w:u w:val="single"/>
        </w:rPr>
        <w:tab/>
      </w:r>
      <w:r>
        <w:rPr>
          <w:rFonts w:ascii="Arial" w:hAnsi="Arial"/>
          <w:u w:val="single"/>
        </w:rPr>
        <w:tab/>
      </w:r>
    </w:p>
    <w:p w:rsidR="00C20670" w:rsidRDefault="00C20670" w:rsidP="00C20670">
      <w:pPr>
        <w:pStyle w:val="toa"/>
        <w:tabs>
          <w:tab w:val="clear" w:pos="0"/>
          <w:tab w:val="clear" w:pos="9000"/>
          <w:tab w:val="clear" w:pos="9360"/>
        </w:tabs>
        <w:suppressAutoHyphens w:val="0"/>
        <w:rPr>
          <w:rFonts w:ascii="Arial" w:hAnsi="Arial"/>
        </w:rPr>
      </w:pPr>
    </w:p>
    <w:p w:rsidR="00F82630" w:rsidRDefault="005D6534">
      <w:pPr>
        <w:pStyle w:val="toa"/>
        <w:tabs>
          <w:tab w:val="clear" w:pos="0"/>
          <w:tab w:val="clear" w:pos="9000"/>
          <w:tab w:val="clear" w:pos="9360"/>
        </w:tabs>
        <w:suppressAutoHyphens w:val="0"/>
        <w:rPr>
          <w:rFonts w:ascii="Arial" w:hAnsi="Arial"/>
        </w:rPr>
      </w:pPr>
      <w:r>
        <w:rPr>
          <w:rFonts w:ascii="Arial" w:hAnsi="Arial"/>
        </w:rPr>
        <w:t>[Seal]</w:t>
      </w:r>
    </w:p>
    <w:p w:rsidR="00920EA9" w:rsidRDefault="00920EA9">
      <w:pPr>
        <w:pStyle w:val="toa"/>
        <w:tabs>
          <w:tab w:val="clear" w:pos="0"/>
          <w:tab w:val="clear" w:pos="9000"/>
          <w:tab w:val="clear" w:pos="9360"/>
        </w:tabs>
        <w:suppressAutoHyphens w:val="0"/>
        <w:rPr>
          <w:rFonts w:ascii="Arial" w:hAnsi="Arial"/>
        </w:rPr>
      </w:pPr>
    </w:p>
    <w:p w:rsidR="00700A5A" w:rsidRDefault="00700A5A">
      <w:pPr>
        <w:pStyle w:val="toa"/>
        <w:tabs>
          <w:tab w:val="clear" w:pos="0"/>
          <w:tab w:val="clear" w:pos="9000"/>
          <w:tab w:val="clear" w:pos="9360"/>
        </w:tabs>
        <w:suppressAutoHyphens w:val="0"/>
        <w:rPr>
          <w:rFonts w:ascii="Arial" w:hAnsi="Arial"/>
        </w:rPr>
      </w:pPr>
    </w:p>
    <w:p w:rsidR="00700A5A" w:rsidRDefault="00700A5A">
      <w:pPr>
        <w:pStyle w:val="toa"/>
        <w:tabs>
          <w:tab w:val="clear" w:pos="0"/>
          <w:tab w:val="clear" w:pos="9000"/>
          <w:tab w:val="clear" w:pos="9360"/>
        </w:tabs>
        <w:suppressAutoHyphens w:val="0"/>
        <w:rPr>
          <w:rFonts w:ascii="Arial" w:hAnsi="Arial"/>
        </w:rPr>
      </w:pPr>
    </w:p>
    <w:p w:rsidR="00700A5A" w:rsidRDefault="00700A5A" w:rsidP="00700A5A">
      <w:pPr>
        <w:pStyle w:val="toa"/>
        <w:tabs>
          <w:tab w:val="clear" w:pos="0"/>
          <w:tab w:val="clear" w:pos="9000"/>
          <w:tab w:val="clear" w:pos="9360"/>
          <w:tab w:val="left" w:pos="-720"/>
        </w:tabs>
        <w:rPr>
          <w:rFonts w:ascii="Arial" w:hAnsi="Arial"/>
          <w:u w:val="single"/>
        </w:rPr>
      </w:pPr>
      <w:r>
        <w:rPr>
          <w:rFonts w:ascii="Arial" w:hAnsi="Arial"/>
        </w:rPr>
        <w:t>Name of Institution: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u w:val="single"/>
        </w:rPr>
        <w:tab/>
      </w:r>
      <w:r>
        <w:rPr>
          <w:rFonts w:ascii="Arial" w:hAnsi="Arial"/>
          <w:u w:val="single"/>
        </w:rPr>
        <w:tab/>
      </w:r>
      <w:r>
        <w:rPr>
          <w:rFonts w:ascii="Arial" w:hAnsi="Arial"/>
          <w:u w:val="single"/>
        </w:rPr>
        <w:tab/>
      </w:r>
      <w:r>
        <w:rPr>
          <w:rFonts w:ascii="Arial" w:hAnsi="Arial"/>
          <w:u w:val="single"/>
        </w:rPr>
        <w:tab/>
      </w:r>
      <w:r>
        <w:rPr>
          <w:rFonts w:ascii="Arial" w:hAnsi="Arial"/>
          <w:u w:val="single"/>
        </w:rPr>
        <w:tab/>
      </w:r>
      <w:r>
        <w:rPr>
          <w:rFonts w:ascii="Arial" w:hAnsi="Arial"/>
          <w:u w:val="single"/>
        </w:rPr>
        <w:tab/>
      </w:r>
      <w:r>
        <w:rPr>
          <w:rFonts w:ascii="Arial" w:hAnsi="Arial"/>
          <w:u w:val="single"/>
        </w:rPr>
        <w:tab/>
        <w:t>_____</w:t>
      </w:r>
    </w:p>
    <w:p w:rsidR="00700A5A" w:rsidRDefault="00700A5A" w:rsidP="00700A5A">
      <w:pPr>
        <w:pStyle w:val="toa"/>
        <w:tabs>
          <w:tab w:val="clear" w:pos="0"/>
          <w:tab w:val="clear" w:pos="9000"/>
          <w:tab w:val="clear" w:pos="9360"/>
          <w:tab w:val="left" w:pos="-720"/>
        </w:tabs>
        <w:rPr>
          <w:rFonts w:ascii="Arial" w:hAnsi="Arial"/>
        </w:rPr>
      </w:pPr>
    </w:p>
    <w:p w:rsidR="00700A5A" w:rsidRDefault="00700A5A" w:rsidP="00700A5A">
      <w:pPr>
        <w:pStyle w:val="toa"/>
        <w:tabs>
          <w:tab w:val="clear" w:pos="0"/>
          <w:tab w:val="clear" w:pos="9000"/>
          <w:tab w:val="clear" w:pos="9360"/>
          <w:tab w:val="left" w:pos="-720"/>
        </w:tabs>
        <w:rPr>
          <w:rFonts w:ascii="Arial" w:hAnsi="Arial"/>
          <w:u w:val="single"/>
        </w:rPr>
      </w:pPr>
      <w:r>
        <w:rPr>
          <w:rFonts w:ascii="Arial" w:hAnsi="Arial"/>
        </w:rPr>
        <w:t xml:space="preserve">Authorized Signature(s): </w:t>
      </w:r>
      <w:r>
        <w:rPr>
          <w:rFonts w:ascii="Arial" w:hAnsi="Arial"/>
        </w:rPr>
        <w:tab/>
      </w:r>
      <w:r>
        <w:rPr>
          <w:rFonts w:ascii="Arial" w:hAnsi="Arial"/>
          <w:u w:val="single"/>
        </w:rPr>
        <w:tab/>
      </w:r>
      <w:r>
        <w:rPr>
          <w:rFonts w:ascii="Arial" w:hAnsi="Arial"/>
          <w:u w:val="single"/>
        </w:rPr>
        <w:tab/>
      </w:r>
      <w:r>
        <w:rPr>
          <w:rFonts w:ascii="Arial" w:hAnsi="Arial"/>
          <w:u w:val="single"/>
        </w:rPr>
        <w:tab/>
      </w:r>
      <w:r>
        <w:rPr>
          <w:rFonts w:ascii="Arial" w:hAnsi="Arial"/>
          <w:u w:val="single"/>
        </w:rPr>
        <w:tab/>
      </w:r>
      <w:r>
        <w:rPr>
          <w:rFonts w:ascii="Arial" w:hAnsi="Arial"/>
          <w:u w:val="single"/>
        </w:rPr>
        <w:tab/>
      </w:r>
      <w:r>
        <w:rPr>
          <w:rFonts w:ascii="Arial" w:hAnsi="Arial"/>
          <w:u w:val="single"/>
        </w:rPr>
        <w:tab/>
      </w:r>
      <w:r>
        <w:rPr>
          <w:rFonts w:ascii="Arial" w:hAnsi="Arial"/>
          <w:u w:val="single"/>
        </w:rPr>
        <w:tab/>
      </w:r>
      <w:r>
        <w:rPr>
          <w:rFonts w:ascii="Arial" w:hAnsi="Arial"/>
          <w:u w:val="single"/>
        </w:rPr>
        <w:tab/>
      </w:r>
    </w:p>
    <w:p w:rsidR="00700A5A" w:rsidRDefault="00700A5A" w:rsidP="00700A5A">
      <w:pPr>
        <w:pStyle w:val="toa"/>
        <w:tabs>
          <w:tab w:val="clear" w:pos="0"/>
          <w:tab w:val="clear" w:pos="9000"/>
          <w:tab w:val="clear" w:pos="9360"/>
        </w:tabs>
        <w:suppressAutoHyphens w:val="0"/>
        <w:rPr>
          <w:rFonts w:ascii="Arial" w:hAnsi="Arial"/>
        </w:rPr>
      </w:pPr>
    </w:p>
    <w:p w:rsidR="00700A5A" w:rsidRDefault="00700A5A" w:rsidP="00700A5A">
      <w:pPr>
        <w:pStyle w:val="toa"/>
        <w:tabs>
          <w:tab w:val="clear" w:pos="0"/>
          <w:tab w:val="clear" w:pos="9000"/>
          <w:tab w:val="clear" w:pos="9360"/>
        </w:tabs>
        <w:suppressAutoHyphens w:val="0"/>
        <w:rPr>
          <w:rFonts w:ascii="Arial" w:hAnsi="Arial"/>
        </w:rPr>
      </w:pPr>
      <w:r>
        <w:rPr>
          <w:rFonts w:ascii="Arial" w:hAnsi="Arial"/>
        </w:rPr>
        <w:t>Name(s)</w:t>
      </w:r>
      <w:r w:rsidRPr="00B931B9">
        <w:rPr>
          <w:rFonts w:ascii="Arial" w:hAnsi="Arial"/>
        </w:rPr>
        <w:t xml:space="preserve"> </w:t>
      </w:r>
      <w:r>
        <w:rPr>
          <w:rFonts w:ascii="Arial" w:hAnsi="Arial"/>
        </w:rPr>
        <w:t>and Title(s) of</w:t>
      </w:r>
    </w:p>
    <w:p w:rsidR="00700A5A" w:rsidRDefault="00700A5A" w:rsidP="00700A5A">
      <w:pPr>
        <w:pStyle w:val="toa"/>
        <w:tabs>
          <w:tab w:val="clear" w:pos="0"/>
          <w:tab w:val="clear" w:pos="9000"/>
          <w:tab w:val="clear" w:pos="9360"/>
        </w:tabs>
        <w:suppressAutoHyphens w:val="0"/>
        <w:rPr>
          <w:rFonts w:ascii="Arial" w:hAnsi="Arial"/>
          <w:u w:val="single"/>
        </w:rPr>
      </w:pPr>
      <w:r>
        <w:rPr>
          <w:rFonts w:ascii="Arial" w:hAnsi="Arial"/>
        </w:rPr>
        <w:t>Authorized Signatory(</w:t>
      </w:r>
      <w:proofErr w:type="spellStart"/>
      <w:r>
        <w:rPr>
          <w:rFonts w:ascii="Arial" w:hAnsi="Arial"/>
        </w:rPr>
        <w:t>ies</w:t>
      </w:r>
      <w:proofErr w:type="spellEnd"/>
      <w:r>
        <w:rPr>
          <w:rFonts w:ascii="Arial" w:hAnsi="Arial"/>
        </w:rPr>
        <w:t>):</w:t>
      </w:r>
      <w:r>
        <w:rPr>
          <w:rFonts w:ascii="Arial" w:hAnsi="Arial"/>
        </w:rPr>
        <w:tab/>
      </w:r>
      <w:r>
        <w:rPr>
          <w:rFonts w:ascii="Arial" w:hAnsi="Arial"/>
          <w:u w:val="single"/>
        </w:rPr>
        <w:tab/>
      </w:r>
      <w:r>
        <w:rPr>
          <w:rFonts w:ascii="Arial" w:hAnsi="Arial"/>
          <w:u w:val="single"/>
        </w:rPr>
        <w:tab/>
      </w:r>
      <w:r>
        <w:rPr>
          <w:rFonts w:ascii="Arial" w:hAnsi="Arial"/>
          <w:u w:val="single"/>
        </w:rPr>
        <w:tab/>
      </w:r>
      <w:r>
        <w:rPr>
          <w:rFonts w:ascii="Arial" w:hAnsi="Arial"/>
          <w:u w:val="single"/>
        </w:rPr>
        <w:tab/>
      </w:r>
      <w:r>
        <w:rPr>
          <w:rFonts w:ascii="Arial" w:hAnsi="Arial"/>
          <w:u w:val="single"/>
        </w:rPr>
        <w:tab/>
      </w:r>
      <w:r>
        <w:rPr>
          <w:rFonts w:ascii="Arial" w:hAnsi="Arial"/>
          <w:u w:val="single"/>
        </w:rPr>
        <w:tab/>
      </w:r>
      <w:r>
        <w:rPr>
          <w:rFonts w:ascii="Arial" w:hAnsi="Arial"/>
          <w:u w:val="single"/>
        </w:rPr>
        <w:tab/>
      </w:r>
      <w:r>
        <w:rPr>
          <w:rFonts w:ascii="Arial" w:hAnsi="Arial"/>
          <w:u w:val="single"/>
        </w:rPr>
        <w:tab/>
      </w:r>
    </w:p>
    <w:p w:rsidR="00700A5A" w:rsidRDefault="00700A5A" w:rsidP="00700A5A">
      <w:pPr>
        <w:pStyle w:val="toa"/>
        <w:tabs>
          <w:tab w:val="clear" w:pos="0"/>
          <w:tab w:val="clear" w:pos="9000"/>
          <w:tab w:val="clear" w:pos="9360"/>
        </w:tabs>
        <w:suppressAutoHyphens w:val="0"/>
        <w:rPr>
          <w:rFonts w:ascii="Arial" w:hAnsi="Arial"/>
          <w:u w:val="single"/>
        </w:rPr>
      </w:pPr>
    </w:p>
    <w:p w:rsidR="00700A5A" w:rsidRDefault="00700A5A" w:rsidP="00700A5A">
      <w:pPr>
        <w:pStyle w:val="toa"/>
        <w:tabs>
          <w:tab w:val="clear" w:pos="0"/>
          <w:tab w:val="clear" w:pos="9000"/>
          <w:tab w:val="clear" w:pos="9360"/>
          <w:tab w:val="left" w:pos="-720"/>
        </w:tabs>
        <w:rPr>
          <w:rFonts w:ascii="Arial" w:hAnsi="Arial"/>
          <w:u w:val="single"/>
        </w:rPr>
      </w:pPr>
      <w:r>
        <w:rPr>
          <w:rFonts w:ascii="Arial" w:hAnsi="Arial"/>
        </w:rPr>
        <w:t xml:space="preserve">Authorized Signature(s): </w:t>
      </w:r>
      <w:r>
        <w:rPr>
          <w:rFonts w:ascii="Arial" w:hAnsi="Arial"/>
        </w:rPr>
        <w:tab/>
      </w:r>
      <w:r>
        <w:rPr>
          <w:rFonts w:ascii="Arial" w:hAnsi="Arial"/>
          <w:u w:val="single"/>
        </w:rPr>
        <w:tab/>
      </w:r>
      <w:r>
        <w:rPr>
          <w:rFonts w:ascii="Arial" w:hAnsi="Arial"/>
          <w:u w:val="single"/>
        </w:rPr>
        <w:tab/>
      </w:r>
      <w:r>
        <w:rPr>
          <w:rFonts w:ascii="Arial" w:hAnsi="Arial"/>
          <w:u w:val="single"/>
        </w:rPr>
        <w:tab/>
      </w:r>
      <w:r>
        <w:rPr>
          <w:rFonts w:ascii="Arial" w:hAnsi="Arial"/>
          <w:u w:val="single"/>
        </w:rPr>
        <w:tab/>
      </w:r>
      <w:r>
        <w:rPr>
          <w:rFonts w:ascii="Arial" w:hAnsi="Arial"/>
          <w:u w:val="single"/>
        </w:rPr>
        <w:tab/>
      </w:r>
      <w:r>
        <w:rPr>
          <w:rFonts w:ascii="Arial" w:hAnsi="Arial"/>
          <w:u w:val="single"/>
        </w:rPr>
        <w:tab/>
      </w:r>
      <w:r>
        <w:rPr>
          <w:rFonts w:ascii="Arial" w:hAnsi="Arial"/>
          <w:u w:val="single"/>
        </w:rPr>
        <w:tab/>
      </w:r>
      <w:r>
        <w:rPr>
          <w:rFonts w:ascii="Arial" w:hAnsi="Arial"/>
          <w:u w:val="single"/>
        </w:rPr>
        <w:tab/>
      </w:r>
    </w:p>
    <w:p w:rsidR="00700A5A" w:rsidRDefault="00700A5A" w:rsidP="00700A5A">
      <w:pPr>
        <w:pStyle w:val="toa"/>
        <w:tabs>
          <w:tab w:val="clear" w:pos="0"/>
          <w:tab w:val="clear" w:pos="9000"/>
          <w:tab w:val="clear" w:pos="9360"/>
        </w:tabs>
        <w:suppressAutoHyphens w:val="0"/>
        <w:rPr>
          <w:rFonts w:ascii="Arial" w:hAnsi="Arial"/>
        </w:rPr>
      </w:pPr>
    </w:p>
    <w:p w:rsidR="00700A5A" w:rsidRDefault="00700A5A" w:rsidP="00700A5A">
      <w:pPr>
        <w:pStyle w:val="toa"/>
        <w:tabs>
          <w:tab w:val="clear" w:pos="0"/>
          <w:tab w:val="clear" w:pos="9000"/>
          <w:tab w:val="clear" w:pos="9360"/>
        </w:tabs>
        <w:suppressAutoHyphens w:val="0"/>
        <w:rPr>
          <w:rFonts w:ascii="Arial" w:hAnsi="Arial"/>
        </w:rPr>
      </w:pPr>
      <w:r>
        <w:rPr>
          <w:rFonts w:ascii="Arial" w:hAnsi="Arial"/>
        </w:rPr>
        <w:t>Name(s) and Title(s) of</w:t>
      </w:r>
    </w:p>
    <w:p w:rsidR="00700A5A" w:rsidRDefault="00700A5A" w:rsidP="00700A5A">
      <w:pPr>
        <w:pStyle w:val="toa"/>
        <w:tabs>
          <w:tab w:val="clear" w:pos="0"/>
          <w:tab w:val="clear" w:pos="9000"/>
          <w:tab w:val="clear" w:pos="9360"/>
        </w:tabs>
        <w:suppressAutoHyphens w:val="0"/>
        <w:rPr>
          <w:rFonts w:ascii="Arial" w:hAnsi="Arial"/>
          <w:u w:val="single"/>
        </w:rPr>
      </w:pPr>
      <w:r>
        <w:rPr>
          <w:rFonts w:ascii="Arial" w:hAnsi="Arial"/>
        </w:rPr>
        <w:t>Authorized Signatory(</w:t>
      </w:r>
      <w:proofErr w:type="spellStart"/>
      <w:r>
        <w:rPr>
          <w:rFonts w:ascii="Arial" w:hAnsi="Arial"/>
        </w:rPr>
        <w:t>ies</w:t>
      </w:r>
      <w:proofErr w:type="spellEnd"/>
      <w:r>
        <w:rPr>
          <w:rFonts w:ascii="Arial" w:hAnsi="Arial"/>
        </w:rPr>
        <w:t>):</w:t>
      </w:r>
      <w:r>
        <w:rPr>
          <w:rFonts w:ascii="Arial" w:hAnsi="Arial"/>
        </w:rPr>
        <w:tab/>
      </w:r>
      <w:r>
        <w:rPr>
          <w:rFonts w:ascii="Arial" w:hAnsi="Arial"/>
          <w:u w:val="single"/>
        </w:rPr>
        <w:tab/>
      </w:r>
      <w:r>
        <w:rPr>
          <w:rFonts w:ascii="Arial" w:hAnsi="Arial"/>
          <w:u w:val="single"/>
        </w:rPr>
        <w:tab/>
      </w:r>
      <w:r>
        <w:rPr>
          <w:rFonts w:ascii="Arial" w:hAnsi="Arial"/>
          <w:u w:val="single"/>
        </w:rPr>
        <w:tab/>
      </w:r>
      <w:r>
        <w:rPr>
          <w:rFonts w:ascii="Arial" w:hAnsi="Arial"/>
          <w:u w:val="single"/>
        </w:rPr>
        <w:tab/>
      </w:r>
      <w:r>
        <w:rPr>
          <w:rFonts w:ascii="Arial" w:hAnsi="Arial"/>
          <w:u w:val="single"/>
        </w:rPr>
        <w:tab/>
      </w:r>
      <w:r>
        <w:rPr>
          <w:rFonts w:ascii="Arial" w:hAnsi="Arial"/>
          <w:u w:val="single"/>
        </w:rPr>
        <w:tab/>
      </w:r>
      <w:r>
        <w:rPr>
          <w:rFonts w:ascii="Arial" w:hAnsi="Arial"/>
          <w:u w:val="single"/>
        </w:rPr>
        <w:tab/>
      </w:r>
      <w:r>
        <w:rPr>
          <w:rFonts w:ascii="Arial" w:hAnsi="Arial"/>
          <w:u w:val="single"/>
        </w:rPr>
        <w:tab/>
      </w:r>
    </w:p>
    <w:p w:rsidR="00700A5A" w:rsidRDefault="00700A5A" w:rsidP="00700A5A">
      <w:pPr>
        <w:pStyle w:val="toa"/>
        <w:tabs>
          <w:tab w:val="clear" w:pos="0"/>
          <w:tab w:val="clear" w:pos="9000"/>
          <w:tab w:val="clear" w:pos="9360"/>
        </w:tabs>
        <w:suppressAutoHyphens w:val="0"/>
        <w:rPr>
          <w:rFonts w:ascii="Arial" w:hAnsi="Arial"/>
        </w:rPr>
      </w:pPr>
    </w:p>
    <w:p w:rsidR="00700A5A" w:rsidRDefault="00700A5A" w:rsidP="00700A5A">
      <w:pPr>
        <w:pStyle w:val="toa"/>
        <w:tabs>
          <w:tab w:val="clear" w:pos="0"/>
          <w:tab w:val="clear" w:pos="9000"/>
          <w:tab w:val="clear" w:pos="9360"/>
        </w:tabs>
        <w:suppressAutoHyphens w:val="0"/>
        <w:rPr>
          <w:rFonts w:ascii="Arial" w:hAnsi="Arial"/>
        </w:rPr>
      </w:pPr>
      <w:r>
        <w:rPr>
          <w:rFonts w:ascii="Arial" w:hAnsi="Arial"/>
        </w:rPr>
        <w:t>[Seal]</w:t>
      </w:r>
    </w:p>
    <w:p w:rsidR="00700A5A" w:rsidRDefault="00700A5A">
      <w:pPr>
        <w:pStyle w:val="toa"/>
        <w:tabs>
          <w:tab w:val="clear" w:pos="0"/>
          <w:tab w:val="clear" w:pos="9000"/>
          <w:tab w:val="clear" w:pos="9360"/>
        </w:tabs>
        <w:suppressAutoHyphens w:val="0"/>
        <w:rPr>
          <w:rFonts w:ascii="Arial" w:hAnsi="Arial"/>
        </w:rPr>
      </w:pPr>
    </w:p>
    <w:p w:rsidR="00D54D1B" w:rsidRDefault="00D54D1B" w:rsidP="00033E2D">
      <w:pPr>
        <w:pStyle w:val="toa"/>
        <w:tabs>
          <w:tab w:val="clear" w:pos="0"/>
          <w:tab w:val="clear" w:pos="9000"/>
          <w:tab w:val="clear" w:pos="9360"/>
        </w:tabs>
        <w:suppressAutoHyphens w:val="0"/>
      </w:pPr>
    </w:p>
    <w:p w:rsidR="00920EA9" w:rsidRDefault="00920EA9" w:rsidP="00920EA9">
      <w:pPr>
        <w:pStyle w:val="toa"/>
        <w:tabs>
          <w:tab w:val="clear" w:pos="0"/>
          <w:tab w:val="clear" w:pos="9000"/>
          <w:tab w:val="clear" w:pos="9360"/>
        </w:tabs>
        <w:suppressAutoHyphens w:val="0"/>
        <w:jc w:val="center"/>
        <w:rPr>
          <w:rFonts w:ascii="Arial" w:hAnsi="Arial"/>
        </w:rPr>
      </w:pPr>
    </w:p>
    <w:sectPr w:rsidR="00920EA9" w:rsidSect="00963A85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0A62" w:rsidRDefault="00CA0A62">
      <w:r>
        <w:separator/>
      </w:r>
    </w:p>
  </w:endnote>
  <w:endnote w:type="continuationSeparator" w:id="0">
    <w:p w:rsidR="00CA0A62" w:rsidRDefault="00CA0A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7CFB" w:rsidRDefault="0099008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5D7CFB">
      <w:rPr>
        <w:rStyle w:val="PageNumber"/>
      </w:rPr>
      <w:instrText xml:space="preserve">      </w:instrText>
    </w:r>
    <w:r>
      <w:rPr>
        <w:rStyle w:val="PageNumber"/>
      </w:rPr>
      <w:fldChar w:fldCharType="end"/>
    </w:r>
  </w:p>
  <w:p w:rsidR="005D7CFB" w:rsidRDefault="005D7CFB">
    <w:pPr>
      <w:pStyle w:val="Footer"/>
      <w:framePr w:wrap="around" w:vAnchor="text" w:hAnchor="margin" w:xAlign="center" w:y="1"/>
      <w:rPr>
        <w:rStyle w:val="PageNumber"/>
      </w:rPr>
    </w:pPr>
  </w:p>
  <w:p w:rsidR="005D7CFB" w:rsidRDefault="005D7CFB" w:rsidP="009C4BE5">
    <w:pPr>
      <w:pStyle w:val="Footer"/>
      <w:jc w:val="center"/>
    </w:pPr>
    <w:r>
      <w:t xml:space="preserve"> </w:t>
    </w:r>
    <w:r w:rsidR="0099008A">
      <w:fldChar w:fldCharType="begin"/>
    </w:r>
    <w:r w:rsidRPr="009C4BE5">
      <w:instrText xml:space="preserve">                                                    </w:instrText>
    </w:r>
    <w:r w:rsidR="0099008A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42202285"/>
      <w:docPartObj>
        <w:docPartGallery w:val="Page Numbers (Bottom of Page)"/>
        <w:docPartUnique/>
      </w:docPartObj>
    </w:sdtPr>
    <w:sdtEndPr/>
    <w:sdtContent>
      <w:p w:rsidR="00963A85" w:rsidRDefault="0099008A">
        <w:pPr>
          <w:pStyle w:val="Footer"/>
          <w:jc w:val="right"/>
        </w:pPr>
        <w:r>
          <w:fldChar w:fldCharType="begin"/>
        </w:r>
        <w:r w:rsidR="00D93F84">
          <w:instrText xml:space="preserve"> PAGE   \* MERGEFORMAT </w:instrText>
        </w:r>
        <w:r>
          <w:fldChar w:fldCharType="separate"/>
        </w:r>
        <w:r w:rsidR="0052502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D7CFB" w:rsidRDefault="005D7CFB" w:rsidP="009C4BE5">
    <w:pPr>
      <w:pStyle w:val="Footer"/>
      <w:jc w:val="center"/>
      <w:rPr>
        <w:sz w:val="1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42202284"/>
      <w:docPartObj>
        <w:docPartGallery w:val="Page Numbers (Bottom of Page)"/>
        <w:docPartUnique/>
      </w:docPartObj>
    </w:sdtPr>
    <w:sdtEndPr/>
    <w:sdtContent>
      <w:p w:rsidR="007B262A" w:rsidRPr="007B262A" w:rsidRDefault="007B262A" w:rsidP="007B262A">
        <w:pPr>
          <w:pStyle w:val="Footer"/>
          <w:jc w:val="center"/>
          <w:rPr>
            <w:rFonts w:eastAsiaTheme="minorHAnsi" w:cs="Arial"/>
            <w:sz w:val="20"/>
          </w:rPr>
        </w:pPr>
        <w:r w:rsidRPr="007B262A">
          <w:rPr>
            <w:rFonts w:cs="Arial"/>
            <w:spacing w:val="-1"/>
            <w:sz w:val="20"/>
          </w:rPr>
          <w:t>C</w:t>
        </w:r>
        <w:r w:rsidRPr="007B262A">
          <w:rPr>
            <w:rFonts w:cs="Arial"/>
            <w:spacing w:val="1"/>
            <w:sz w:val="20"/>
          </w:rPr>
          <w:t>o</w:t>
        </w:r>
        <w:r w:rsidRPr="007B262A">
          <w:rPr>
            <w:rFonts w:cs="Arial"/>
            <w:spacing w:val="4"/>
            <w:sz w:val="20"/>
          </w:rPr>
          <w:t>p</w:t>
        </w:r>
        <w:r w:rsidRPr="007B262A">
          <w:rPr>
            <w:rFonts w:cs="Arial"/>
            <w:spacing w:val="-4"/>
            <w:sz w:val="20"/>
          </w:rPr>
          <w:t>y</w:t>
        </w:r>
        <w:r w:rsidRPr="007B262A">
          <w:rPr>
            <w:rFonts w:cs="Arial"/>
            <w:spacing w:val="1"/>
            <w:sz w:val="20"/>
          </w:rPr>
          <w:t>r</w:t>
        </w:r>
        <w:r w:rsidRPr="007B262A">
          <w:rPr>
            <w:rFonts w:cs="Arial"/>
            <w:sz w:val="20"/>
          </w:rPr>
          <w:t>i</w:t>
        </w:r>
        <w:r w:rsidRPr="007B262A">
          <w:rPr>
            <w:rFonts w:cs="Arial"/>
            <w:spacing w:val="1"/>
            <w:sz w:val="20"/>
          </w:rPr>
          <w:t>g</w:t>
        </w:r>
        <w:r w:rsidRPr="007B262A">
          <w:rPr>
            <w:rFonts w:cs="Arial"/>
            <w:spacing w:val="-1"/>
            <w:sz w:val="20"/>
          </w:rPr>
          <w:t>h</w:t>
        </w:r>
        <w:r w:rsidRPr="007B262A">
          <w:rPr>
            <w:rFonts w:cs="Arial"/>
            <w:sz w:val="20"/>
          </w:rPr>
          <w:t>t</w:t>
        </w:r>
        <w:r w:rsidRPr="007B262A">
          <w:rPr>
            <w:rFonts w:cs="Arial"/>
            <w:spacing w:val="-8"/>
            <w:sz w:val="20"/>
          </w:rPr>
          <w:t xml:space="preserve"> </w:t>
        </w:r>
        <w:r w:rsidRPr="007B262A">
          <w:rPr>
            <w:rFonts w:cs="Arial"/>
            <w:sz w:val="20"/>
          </w:rPr>
          <w:t>©</w:t>
        </w:r>
        <w:r w:rsidRPr="007B262A">
          <w:rPr>
            <w:rFonts w:cs="Arial"/>
            <w:spacing w:val="-2"/>
            <w:sz w:val="20"/>
          </w:rPr>
          <w:t xml:space="preserve"> </w:t>
        </w:r>
        <w:r w:rsidRPr="007B262A">
          <w:rPr>
            <w:rFonts w:cs="Arial"/>
            <w:spacing w:val="1"/>
            <w:sz w:val="20"/>
          </w:rPr>
          <w:t>201</w:t>
        </w:r>
        <w:r w:rsidRPr="007B262A">
          <w:rPr>
            <w:rFonts w:cs="Arial"/>
            <w:sz w:val="20"/>
          </w:rPr>
          <w:t>3</w:t>
        </w:r>
        <w:r w:rsidRPr="007B262A">
          <w:rPr>
            <w:rFonts w:cs="Arial"/>
            <w:spacing w:val="-2"/>
            <w:sz w:val="20"/>
          </w:rPr>
          <w:t xml:space="preserve"> </w:t>
        </w:r>
        <w:r w:rsidRPr="007B262A">
          <w:rPr>
            <w:rFonts w:cs="Arial"/>
            <w:spacing w:val="1"/>
            <w:sz w:val="20"/>
          </w:rPr>
          <w:t>I</w:t>
        </w:r>
        <w:r w:rsidRPr="007B262A">
          <w:rPr>
            <w:rFonts w:cs="Arial"/>
            <w:spacing w:val="-1"/>
            <w:sz w:val="20"/>
          </w:rPr>
          <w:t>n</w:t>
        </w:r>
        <w:r w:rsidRPr="007B262A">
          <w:rPr>
            <w:rFonts w:cs="Arial"/>
            <w:sz w:val="20"/>
          </w:rPr>
          <w:t>te</w:t>
        </w:r>
        <w:r w:rsidRPr="007B262A">
          <w:rPr>
            <w:rFonts w:cs="Arial"/>
            <w:spacing w:val="3"/>
            <w:sz w:val="20"/>
          </w:rPr>
          <w:t>r</w:t>
        </w:r>
        <w:r w:rsidRPr="007B262A">
          <w:rPr>
            <w:rFonts w:cs="Arial"/>
            <w:spacing w:val="-1"/>
            <w:sz w:val="20"/>
          </w:rPr>
          <w:t>n</w:t>
        </w:r>
        <w:r w:rsidRPr="007B262A">
          <w:rPr>
            <w:rFonts w:cs="Arial"/>
            <w:sz w:val="20"/>
          </w:rPr>
          <w:t>at</w:t>
        </w:r>
        <w:r w:rsidRPr="007B262A">
          <w:rPr>
            <w:rFonts w:cs="Arial"/>
            <w:spacing w:val="2"/>
            <w:sz w:val="20"/>
          </w:rPr>
          <w:t>i</w:t>
        </w:r>
        <w:r w:rsidRPr="007B262A">
          <w:rPr>
            <w:rFonts w:cs="Arial"/>
            <w:spacing w:val="1"/>
            <w:sz w:val="20"/>
          </w:rPr>
          <w:t>o</w:t>
        </w:r>
        <w:r w:rsidRPr="007B262A">
          <w:rPr>
            <w:rFonts w:cs="Arial"/>
            <w:spacing w:val="-1"/>
            <w:sz w:val="20"/>
          </w:rPr>
          <w:t>n</w:t>
        </w:r>
        <w:r w:rsidRPr="007B262A">
          <w:rPr>
            <w:rFonts w:cs="Arial"/>
            <w:sz w:val="20"/>
          </w:rPr>
          <w:t>al</w:t>
        </w:r>
        <w:r w:rsidRPr="007B262A">
          <w:rPr>
            <w:rFonts w:cs="Arial"/>
            <w:spacing w:val="-10"/>
            <w:sz w:val="20"/>
          </w:rPr>
          <w:t xml:space="preserve"> </w:t>
        </w:r>
        <w:r w:rsidRPr="007B262A">
          <w:rPr>
            <w:rFonts w:cs="Arial"/>
            <w:spacing w:val="2"/>
            <w:sz w:val="20"/>
          </w:rPr>
          <w:t>S</w:t>
        </w:r>
        <w:r w:rsidRPr="007B262A">
          <w:rPr>
            <w:rFonts w:cs="Arial"/>
            <w:spacing w:val="-2"/>
            <w:sz w:val="20"/>
          </w:rPr>
          <w:t>w</w:t>
        </w:r>
        <w:r w:rsidRPr="007B262A">
          <w:rPr>
            <w:rFonts w:cs="Arial"/>
            <w:sz w:val="20"/>
          </w:rPr>
          <w:t>a</w:t>
        </w:r>
        <w:r w:rsidRPr="007B262A">
          <w:rPr>
            <w:rFonts w:cs="Arial"/>
            <w:spacing w:val="1"/>
            <w:sz w:val="20"/>
          </w:rPr>
          <w:t>p</w:t>
        </w:r>
        <w:r w:rsidRPr="007B262A">
          <w:rPr>
            <w:rFonts w:cs="Arial"/>
            <w:sz w:val="20"/>
          </w:rPr>
          <w:t>s</w:t>
        </w:r>
        <w:r w:rsidRPr="007B262A">
          <w:rPr>
            <w:rFonts w:cs="Arial"/>
            <w:spacing w:val="-5"/>
            <w:sz w:val="20"/>
          </w:rPr>
          <w:t xml:space="preserve"> </w:t>
        </w:r>
        <w:r w:rsidRPr="007B262A">
          <w:rPr>
            <w:rFonts w:cs="Arial"/>
            <w:sz w:val="20"/>
          </w:rPr>
          <w:t>a</w:t>
        </w:r>
        <w:r w:rsidRPr="007B262A">
          <w:rPr>
            <w:rFonts w:cs="Arial"/>
            <w:spacing w:val="-1"/>
            <w:sz w:val="20"/>
          </w:rPr>
          <w:t>n</w:t>
        </w:r>
        <w:r w:rsidRPr="007B262A">
          <w:rPr>
            <w:rFonts w:cs="Arial"/>
            <w:sz w:val="20"/>
          </w:rPr>
          <w:t>d</w:t>
        </w:r>
        <w:r w:rsidRPr="007B262A">
          <w:rPr>
            <w:rFonts w:cs="Arial"/>
            <w:spacing w:val="-1"/>
            <w:sz w:val="20"/>
          </w:rPr>
          <w:t xml:space="preserve"> </w:t>
        </w:r>
        <w:r w:rsidRPr="007B262A">
          <w:rPr>
            <w:rFonts w:cs="Arial"/>
            <w:sz w:val="20"/>
          </w:rPr>
          <w:t>De</w:t>
        </w:r>
        <w:r w:rsidRPr="007B262A">
          <w:rPr>
            <w:rFonts w:cs="Arial"/>
            <w:spacing w:val="1"/>
            <w:sz w:val="20"/>
          </w:rPr>
          <w:t>r</w:t>
        </w:r>
        <w:r w:rsidRPr="007B262A">
          <w:rPr>
            <w:rFonts w:cs="Arial"/>
            <w:spacing w:val="2"/>
            <w:sz w:val="20"/>
          </w:rPr>
          <w:t>i</w:t>
        </w:r>
        <w:r w:rsidRPr="007B262A">
          <w:rPr>
            <w:rFonts w:cs="Arial"/>
            <w:spacing w:val="-1"/>
            <w:sz w:val="20"/>
          </w:rPr>
          <w:t>v</w:t>
        </w:r>
        <w:r w:rsidRPr="007B262A">
          <w:rPr>
            <w:rFonts w:cs="Arial"/>
            <w:sz w:val="20"/>
          </w:rPr>
          <w:t>at</w:t>
        </w:r>
        <w:r w:rsidRPr="007B262A">
          <w:rPr>
            <w:rFonts w:cs="Arial"/>
            <w:spacing w:val="2"/>
            <w:sz w:val="20"/>
          </w:rPr>
          <w:t>i</w:t>
        </w:r>
        <w:r w:rsidRPr="007B262A">
          <w:rPr>
            <w:rFonts w:cs="Arial"/>
            <w:spacing w:val="-1"/>
            <w:sz w:val="20"/>
          </w:rPr>
          <w:t>v</w:t>
        </w:r>
        <w:r w:rsidRPr="007B262A">
          <w:rPr>
            <w:rFonts w:cs="Arial"/>
            <w:sz w:val="20"/>
          </w:rPr>
          <w:t>es</w:t>
        </w:r>
        <w:r w:rsidRPr="007B262A">
          <w:rPr>
            <w:rFonts w:cs="Arial"/>
            <w:spacing w:val="-7"/>
            <w:sz w:val="20"/>
          </w:rPr>
          <w:t xml:space="preserve"> </w:t>
        </w:r>
        <w:r w:rsidRPr="007B262A">
          <w:rPr>
            <w:rFonts w:cs="Arial"/>
            <w:sz w:val="20"/>
          </w:rPr>
          <w:t>A</w:t>
        </w:r>
        <w:r w:rsidRPr="007B262A">
          <w:rPr>
            <w:rFonts w:cs="Arial"/>
            <w:spacing w:val="-1"/>
            <w:sz w:val="20"/>
          </w:rPr>
          <w:t>ss</w:t>
        </w:r>
        <w:r w:rsidRPr="007B262A">
          <w:rPr>
            <w:rFonts w:cs="Arial"/>
            <w:spacing w:val="1"/>
            <w:sz w:val="20"/>
          </w:rPr>
          <w:t>o</w:t>
        </w:r>
        <w:r w:rsidRPr="007B262A">
          <w:rPr>
            <w:rFonts w:cs="Arial"/>
            <w:sz w:val="20"/>
          </w:rPr>
          <w:t>ciati</w:t>
        </w:r>
        <w:r w:rsidRPr="007B262A">
          <w:rPr>
            <w:rFonts w:cs="Arial"/>
            <w:spacing w:val="1"/>
            <w:sz w:val="20"/>
          </w:rPr>
          <w:t>o</w:t>
        </w:r>
        <w:r w:rsidRPr="007B262A">
          <w:rPr>
            <w:rFonts w:cs="Arial"/>
            <w:spacing w:val="-1"/>
            <w:sz w:val="20"/>
          </w:rPr>
          <w:t>n</w:t>
        </w:r>
        <w:r w:rsidRPr="007B262A">
          <w:rPr>
            <w:rFonts w:cs="Arial"/>
            <w:sz w:val="20"/>
          </w:rPr>
          <w:t>, Inc.</w:t>
        </w:r>
      </w:p>
      <w:p w:rsidR="007B262A" w:rsidRDefault="007B262A">
        <w:pPr>
          <w:pStyle w:val="Footer"/>
          <w:jc w:val="right"/>
        </w:pPr>
      </w:p>
      <w:p w:rsidR="00963A85" w:rsidRDefault="0099008A">
        <w:pPr>
          <w:pStyle w:val="Footer"/>
          <w:jc w:val="right"/>
        </w:pPr>
        <w:r>
          <w:fldChar w:fldCharType="begin"/>
        </w:r>
        <w:r w:rsidR="00D93F84">
          <w:instrText xml:space="preserve"> PAGE   \* MERGEFORMAT </w:instrText>
        </w:r>
        <w:r>
          <w:fldChar w:fldCharType="separate"/>
        </w:r>
        <w:r w:rsidR="00700A5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D7CFB" w:rsidRDefault="005D7CFB" w:rsidP="00F87C07">
    <w:pPr>
      <w:pStyle w:val="Footer"/>
      <w:jc w:val="center"/>
      <w:rPr>
        <w:sz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0A62" w:rsidRDefault="00CA0A62">
      <w:r>
        <w:separator/>
      </w:r>
    </w:p>
  </w:footnote>
  <w:footnote w:type="continuationSeparator" w:id="0">
    <w:p w:rsidR="00CA0A62" w:rsidRDefault="00CA0A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7CFB" w:rsidRDefault="005D7CFB">
    <w:pPr>
      <w:pStyle w:val="Header"/>
      <w:jc w:val="right"/>
      <w:rPr>
        <w:sz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7CFB" w:rsidRDefault="009A58D1">
    <w:pPr>
      <w:pStyle w:val="Header"/>
    </w:pPr>
    <w:r>
      <w:rPr>
        <w:noProof/>
        <w:sz w:val="20"/>
        <w:lang w:eastAsia="zh-CN"/>
      </w:rPr>
      <w:drawing>
        <wp:inline distT="0" distB="0" distL="0" distR="0" wp14:anchorId="4B14E7C5" wp14:editId="7C0C4010">
          <wp:extent cx="1438275" cy="355646"/>
          <wp:effectExtent l="0" t="0" r="0" b="6350"/>
          <wp:docPr id="1" name="Picture 1" descr="C:\Users\JLow\AppData\Local\Microsoft\Windows\Temporary Internet Files\Content.Outlook\85387MMS\ISDANew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Low\AppData\Local\Microsoft\Windows\Temporary Internet Files\Content.Outlook\85387MMS\ISDANew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2620" cy="3567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5D7CFB">
      <w:rPr>
        <w:sz w:val="20"/>
      </w:rPr>
      <w:tab/>
    </w:r>
    <w:r w:rsidR="005D7CFB">
      <w:rPr>
        <w:sz w:val="20"/>
      </w:rPr>
      <w:tab/>
    </w:r>
    <w:r w:rsidR="00747DC8">
      <w:rPr>
        <w:sz w:val="20"/>
      </w:rPr>
      <w:t>4 March</w:t>
    </w:r>
    <w:r w:rsidR="00971A70">
      <w:rPr>
        <w:sz w:val="20"/>
      </w:rPr>
      <w:t xml:space="preserve"> 201</w:t>
    </w:r>
    <w:r w:rsidR="003C6AB5">
      <w:rPr>
        <w:sz w:val="20"/>
      </w:rPr>
      <w:t>4</w:t>
    </w:r>
    <w:r w:rsidR="005D7CFB">
      <w:rPr>
        <w:sz w:val="20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84F6A"/>
    <w:multiLevelType w:val="hybridMultilevel"/>
    <w:tmpl w:val="82B00400"/>
    <w:lvl w:ilvl="0" w:tplc="22069D6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7614F43"/>
    <w:multiLevelType w:val="hybridMultilevel"/>
    <w:tmpl w:val="AFC0E13C"/>
    <w:lvl w:ilvl="0" w:tplc="2A8CC7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2069D64">
      <w:start w:val="1"/>
      <w:numFmt w:val="lowerRoman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E574EE"/>
    <w:multiLevelType w:val="hybridMultilevel"/>
    <w:tmpl w:val="028C1D4A"/>
    <w:lvl w:ilvl="0" w:tplc="6EDC833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4F600A"/>
    <w:multiLevelType w:val="hybridMultilevel"/>
    <w:tmpl w:val="DBD0501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trackRevisions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583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02E"/>
    <w:rsid w:val="00006FA1"/>
    <w:rsid w:val="00010659"/>
    <w:rsid w:val="00025F73"/>
    <w:rsid w:val="00033A4A"/>
    <w:rsid w:val="00033E2D"/>
    <w:rsid w:val="00035ECB"/>
    <w:rsid w:val="00040197"/>
    <w:rsid w:val="00042806"/>
    <w:rsid w:val="000429D7"/>
    <w:rsid w:val="00045397"/>
    <w:rsid w:val="00054842"/>
    <w:rsid w:val="00065459"/>
    <w:rsid w:val="00067A47"/>
    <w:rsid w:val="00072D3D"/>
    <w:rsid w:val="00073328"/>
    <w:rsid w:val="000A2FE9"/>
    <w:rsid w:val="000B0227"/>
    <w:rsid w:val="000B2F82"/>
    <w:rsid w:val="000D08C4"/>
    <w:rsid w:val="000D0D1D"/>
    <w:rsid w:val="000F4764"/>
    <w:rsid w:val="001024FA"/>
    <w:rsid w:val="00105140"/>
    <w:rsid w:val="001133F1"/>
    <w:rsid w:val="001144F3"/>
    <w:rsid w:val="00114BF7"/>
    <w:rsid w:val="00120D65"/>
    <w:rsid w:val="00123BAD"/>
    <w:rsid w:val="00142464"/>
    <w:rsid w:val="00151DFD"/>
    <w:rsid w:val="00152192"/>
    <w:rsid w:val="001833A2"/>
    <w:rsid w:val="001864A3"/>
    <w:rsid w:val="0018763A"/>
    <w:rsid w:val="001A607B"/>
    <w:rsid w:val="001B4D85"/>
    <w:rsid w:val="001B50C4"/>
    <w:rsid w:val="001C2DA6"/>
    <w:rsid w:val="001C60FD"/>
    <w:rsid w:val="001D121A"/>
    <w:rsid w:val="001D1972"/>
    <w:rsid w:val="001E0276"/>
    <w:rsid w:val="001E27FC"/>
    <w:rsid w:val="001E4B3C"/>
    <w:rsid w:val="001E65DD"/>
    <w:rsid w:val="001F7105"/>
    <w:rsid w:val="00216952"/>
    <w:rsid w:val="00240223"/>
    <w:rsid w:val="002426B4"/>
    <w:rsid w:val="0025059E"/>
    <w:rsid w:val="00250725"/>
    <w:rsid w:val="002652E1"/>
    <w:rsid w:val="00271C91"/>
    <w:rsid w:val="00287FE4"/>
    <w:rsid w:val="002A33C1"/>
    <w:rsid w:val="002A43EB"/>
    <w:rsid w:val="002D40F6"/>
    <w:rsid w:val="003106B2"/>
    <w:rsid w:val="00321AAD"/>
    <w:rsid w:val="00323C89"/>
    <w:rsid w:val="00337540"/>
    <w:rsid w:val="00341F91"/>
    <w:rsid w:val="00345BB2"/>
    <w:rsid w:val="00360F55"/>
    <w:rsid w:val="00377230"/>
    <w:rsid w:val="003821AF"/>
    <w:rsid w:val="00385F04"/>
    <w:rsid w:val="003918BC"/>
    <w:rsid w:val="003963AC"/>
    <w:rsid w:val="003A2333"/>
    <w:rsid w:val="003B2E91"/>
    <w:rsid w:val="003B2FF3"/>
    <w:rsid w:val="003B603B"/>
    <w:rsid w:val="003C1889"/>
    <w:rsid w:val="003C4E16"/>
    <w:rsid w:val="003C6A1C"/>
    <w:rsid w:val="003C6AB5"/>
    <w:rsid w:val="003D103B"/>
    <w:rsid w:val="003D3F08"/>
    <w:rsid w:val="004000AF"/>
    <w:rsid w:val="00415021"/>
    <w:rsid w:val="004168BB"/>
    <w:rsid w:val="00427726"/>
    <w:rsid w:val="00455598"/>
    <w:rsid w:val="00457838"/>
    <w:rsid w:val="00457A35"/>
    <w:rsid w:val="00457D62"/>
    <w:rsid w:val="00465C80"/>
    <w:rsid w:val="00481874"/>
    <w:rsid w:val="00482430"/>
    <w:rsid w:val="0049100E"/>
    <w:rsid w:val="004977DE"/>
    <w:rsid w:val="004D17B0"/>
    <w:rsid w:val="004F7373"/>
    <w:rsid w:val="00500643"/>
    <w:rsid w:val="00510129"/>
    <w:rsid w:val="0051755D"/>
    <w:rsid w:val="00525022"/>
    <w:rsid w:val="0052624A"/>
    <w:rsid w:val="00530BA5"/>
    <w:rsid w:val="00537974"/>
    <w:rsid w:val="00537E24"/>
    <w:rsid w:val="0054015F"/>
    <w:rsid w:val="00544D65"/>
    <w:rsid w:val="005467A9"/>
    <w:rsid w:val="00554231"/>
    <w:rsid w:val="00554D44"/>
    <w:rsid w:val="00566B1D"/>
    <w:rsid w:val="00582D68"/>
    <w:rsid w:val="00593386"/>
    <w:rsid w:val="00596403"/>
    <w:rsid w:val="005A03BE"/>
    <w:rsid w:val="005A73A7"/>
    <w:rsid w:val="005B075D"/>
    <w:rsid w:val="005C1741"/>
    <w:rsid w:val="005D6534"/>
    <w:rsid w:val="005D7CFB"/>
    <w:rsid w:val="005D7EB9"/>
    <w:rsid w:val="00623206"/>
    <w:rsid w:val="00634B4D"/>
    <w:rsid w:val="00657864"/>
    <w:rsid w:val="00671DC0"/>
    <w:rsid w:val="00682C0D"/>
    <w:rsid w:val="00683880"/>
    <w:rsid w:val="00686AFE"/>
    <w:rsid w:val="00696EFD"/>
    <w:rsid w:val="006B07CE"/>
    <w:rsid w:val="006B757D"/>
    <w:rsid w:val="006C6C0E"/>
    <w:rsid w:val="006D12BC"/>
    <w:rsid w:val="006E06E2"/>
    <w:rsid w:val="006E336B"/>
    <w:rsid w:val="006F7652"/>
    <w:rsid w:val="00700087"/>
    <w:rsid w:val="00700A5A"/>
    <w:rsid w:val="00717C05"/>
    <w:rsid w:val="00722AF3"/>
    <w:rsid w:val="00731B15"/>
    <w:rsid w:val="007403C0"/>
    <w:rsid w:val="0074252C"/>
    <w:rsid w:val="007426F3"/>
    <w:rsid w:val="00747DC8"/>
    <w:rsid w:val="00764B0A"/>
    <w:rsid w:val="00765231"/>
    <w:rsid w:val="00791AB1"/>
    <w:rsid w:val="00794516"/>
    <w:rsid w:val="0079471B"/>
    <w:rsid w:val="00794BE2"/>
    <w:rsid w:val="0079702E"/>
    <w:rsid w:val="007A0C76"/>
    <w:rsid w:val="007A5905"/>
    <w:rsid w:val="007A7DCD"/>
    <w:rsid w:val="007B262A"/>
    <w:rsid w:val="007B4046"/>
    <w:rsid w:val="007D00D4"/>
    <w:rsid w:val="007F0C7E"/>
    <w:rsid w:val="007F23ED"/>
    <w:rsid w:val="00806E46"/>
    <w:rsid w:val="008074C4"/>
    <w:rsid w:val="008117B4"/>
    <w:rsid w:val="00817CD4"/>
    <w:rsid w:val="00817FE9"/>
    <w:rsid w:val="00831E0E"/>
    <w:rsid w:val="008403DB"/>
    <w:rsid w:val="008459FB"/>
    <w:rsid w:val="00853776"/>
    <w:rsid w:val="00867042"/>
    <w:rsid w:val="0086786D"/>
    <w:rsid w:val="00870D70"/>
    <w:rsid w:val="00880D40"/>
    <w:rsid w:val="008910B4"/>
    <w:rsid w:val="008963CA"/>
    <w:rsid w:val="008A25BF"/>
    <w:rsid w:val="008A7D26"/>
    <w:rsid w:val="008B21AE"/>
    <w:rsid w:val="008C079E"/>
    <w:rsid w:val="008C3EE5"/>
    <w:rsid w:val="008C79ED"/>
    <w:rsid w:val="008E63F2"/>
    <w:rsid w:val="009019D6"/>
    <w:rsid w:val="0090535B"/>
    <w:rsid w:val="00920EA9"/>
    <w:rsid w:val="009218DF"/>
    <w:rsid w:val="0093497A"/>
    <w:rsid w:val="00934A65"/>
    <w:rsid w:val="00947403"/>
    <w:rsid w:val="00950907"/>
    <w:rsid w:val="0095791D"/>
    <w:rsid w:val="00963A85"/>
    <w:rsid w:val="00971A70"/>
    <w:rsid w:val="00976CFA"/>
    <w:rsid w:val="009815F1"/>
    <w:rsid w:val="0098748A"/>
    <w:rsid w:val="0099008A"/>
    <w:rsid w:val="00993D7C"/>
    <w:rsid w:val="009A4AF3"/>
    <w:rsid w:val="009A58D1"/>
    <w:rsid w:val="009B021B"/>
    <w:rsid w:val="009B38A0"/>
    <w:rsid w:val="009C0CCD"/>
    <w:rsid w:val="009C4BE5"/>
    <w:rsid w:val="009C55BE"/>
    <w:rsid w:val="009D6274"/>
    <w:rsid w:val="009E0513"/>
    <w:rsid w:val="009E58CD"/>
    <w:rsid w:val="009E5F19"/>
    <w:rsid w:val="009F0F34"/>
    <w:rsid w:val="00A010A9"/>
    <w:rsid w:val="00A0654F"/>
    <w:rsid w:val="00A16309"/>
    <w:rsid w:val="00A1783D"/>
    <w:rsid w:val="00A41892"/>
    <w:rsid w:val="00A436BE"/>
    <w:rsid w:val="00A52DC8"/>
    <w:rsid w:val="00A602CF"/>
    <w:rsid w:val="00A60D71"/>
    <w:rsid w:val="00A61DBA"/>
    <w:rsid w:val="00A67C64"/>
    <w:rsid w:val="00A7111C"/>
    <w:rsid w:val="00A768CE"/>
    <w:rsid w:val="00A80C70"/>
    <w:rsid w:val="00A85E21"/>
    <w:rsid w:val="00A9106D"/>
    <w:rsid w:val="00A92EA4"/>
    <w:rsid w:val="00A93C05"/>
    <w:rsid w:val="00AA2DC0"/>
    <w:rsid w:val="00AA6F3E"/>
    <w:rsid w:val="00AB1484"/>
    <w:rsid w:val="00AE4402"/>
    <w:rsid w:val="00AF021D"/>
    <w:rsid w:val="00AF0E2B"/>
    <w:rsid w:val="00AF0E38"/>
    <w:rsid w:val="00AF63AF"/>
    <w:rsid w:val="00AF6CB9"/>
    <w:rsid w:val="00B16E05"/>
    <w:rsid w:val="00B2528B"/>
    <w:rsid w:val="00B279D4"/>
    <w:rsid w:val="00B33630"/>
    <w:rsid w:val="00B5453A"/>
    <w:rsid w:val="00B635A8"/>
    <w:rsid w:val="00B67D01"/>
    <w:rsid w:val="00B931B9"/>
    <w:rsid w:val="00B9480B"/>
    <w:rsid w:val="00BC128C"/>
    <w:rsid w:val="00BC3EE7"/>
    <w:rsid w:val="00BC40C0"/>
    <w:rsid w:val="00BC6B3C"/>
    <w:rsid w:val="00BD54A1"/>
    <w:rsid w:val="00BF1D0C"/>
    <w:rsid w:val="00BF651F"/>
    <w:rsid w:val="00C0358F"/>
    <w:rsid w:val="00C11399"/>
    <w:rsid w:val="00C11CBF"/>
    <w:rsid w:val="00C16DBB"/>
    <w:rsid w:val="00C2034C"/>
    <w:rsid w:val="00C20670"/>
    <w:rsid w:val="00C2402E"/>
    <w:rsid w:val="00C535B1"/>
    <w:rsid w:val="00C548D2"/>
    <w:rsid w:val="00C5667E"/>
    <w:rsid w:val="00C636AF"/>
    <w:rsid w:val="00C920B7"/>
    <w:rsid w:val="00CA0A62"/>
    <w:rsid w:val="00CA259E"/>
    <w:rsid w:val="00CB1211"/>
    <w:rsid w:val="00CD2A4E"/>
    <w:rsid w:val="00CE1AE4"/>
    <w:rsid w:val="00CE74DA"/>
    <w:rsid w:val="00CF5958"/>
    <w:rsid w:val="00D032AF"/>
    <w:rsid w:val="00D14876"/>
    <w:rsid w:val="00D152B2"/>
    <w:rsid w:val="00D32099"/>
    <w:rsid w:val="00D350B5"/>
    <w:rsid w:val="00D418A0"/>
    <w:rsid w:val="00D419AE"/>
    <w:rsid w:val="00D43C5C"/>
    <w:rsid w:val="00D51750"/>
    <w:rsid w:val="00D52700"/>
    <w:rsid w:val="00D54989"/>
    <w:rsid w:val="00D54D1B"/>
    <w:rsid w:val="00D62E3B"/>
    <w:rsid w:val="00D907E2"/>
    <w:rsid w:val="00D93F84"/>
    <w:rsid w:val="00DB2FF2"/>
    <w:rsid w:val="00E14930"/>
    <w:rsid w:val="00E16FD2"/>
    <w:rsid w:val="00E430A8"/>
    <w:rsid w:val="00E47E4C"/>
    <w:rsid w:val="00E52CDE"/>
    <w:rsid w:val="00E606C0"/>
    <w:rsid w:val="00E631F8"/>
    <w:rsid w:val="00E66244"/>
    <w:rsid w:val="00E81AFB"/>
    <w:rsid w:val="00E83E6F"/>
    <w:rsid w:val="00E85150"/>
    <w:rsid w:val="00E96B34"/>
    <w:rsid w:val="00EC1D91"/>
    <w:rsid w:val="00ED0F0B"/>
    <w:rsid w:val="00ED3B3D"/>
    <w:rsid w:val="00ED3DA7"/>
    <w:rsid w:val="00ED4621"/>
    <w:rsid w:val="00ED5BC1"/>
    <w:rsid w:val="00EF444A"/>
    <w:rsid w:val="00F010B8"/>
    <w:rsid w:val="00F1089D"/>
    <w:rsid w:val="00F176C2"/>
    <w:rsid w:val="00F1783D"/>
    <w:rsid w:val="00F17AFB"/>
    <w:rsid w:val="00F23EFB"/>
    <w:rsid w:val="00F43B70"/>
    <w:rsid w:val="00F4466B"/>
    <w:rsid w:val="00F82630"/>
    <w:rsid w:val="00F87C07"/>
    <w:rsid w:val="00F95400"/>
    <w:rsid w:val="00F9617C"/>
    <w:rsid w:val="00F96724"/>
    <w:rsid w:val="00FB37E7"/>
    <w:rsid w:val="00FD04F0"/>
    <w:rsid w:val="00FD1AB1"/>
    <w:rsid w:val="00FD1E8F"/>
    <w:rsid w:val="00FF1B84"/>
    <w:rsid w:val="00FF5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836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a">
    <w:name w:val="toa"/>
    <w:pPr>
      <w:tabs>
        <w:tab w:val="left" w:pos="0"/>
        <w:tab w:val="left" w:pos="9000"/>
        <w:tab w:val="right" w:pos="9360"/>
      </w:tabs>
      <w:suppressAutoHyphens/>
    </w:pPr>
    <w:rPr>
      <w:rFonts w:ascii="CG Times" w:hAnsi="CG Times"/>
      <w:sz w:val="24"/>
    </w:rPr>
  </w:style>
  <w:style w:type="paragraph" w:styleId="BodyText">
    <w:name w:val="Body Text"/>
    <w:basedOn w:val="Normal"/>
    <w:semiHidden/>
    <w:pPr>
      <w:tabs>
        <w:tab w:val="left" w:pos="-720"/>
      </w:tabs>
      <w:suppressAutoHyphens/>
      <w:jc w:val="both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character" w:styleId="Hyperlink">
    <w:name w:val="Hyperlink"/>
    <w:semiHidden/>
    <w:rPr>
      <w:color w:val="0000FF"/>
      <w:u w:val="single"/>
    </w:rPr>
  </w:style>
  <w:style w:type="paragraph" w:styleId="BodyText2">
    <w:name w:val="Body Text 2"/>
    <w:basedOn w:val="Normal"/>
    <w:semiHidden/>
    <w:pPr>
      <w:suppressAutoHyphens/>
      <w:jc w:val="center"/>
    </w:pPr>
  </w:style>
  <w:style w:type="paragraph" w:styleId="FootnoteText">
    <w:name w:val="footnote text"/>
    <w:basedOn w:val="Normal"/>
    <w:semiHidden/>
    <w:rPr>
      <w:sz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33630"/>
    <w:pPr>
      <w:ind w:left="720"/>
    </w:pPr>
  </w:style>
  <w:style w:type="table" w:styleId="TableGrid">
    <w:name w:val="Table Grid"/>
    <w:basedOn w:val="TableNormal"/>
    <w:uiPriority w:val="59"/>
    <w:rsid w:val="006E06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link w:val="Footer"/>
    <w:uiPriority w:val="99"/>
    <w:rsid w:val="001B50C4"/>
    <w:rPr>
      <w:rFonts w:ascii="Arial" w:hAnsi="Arial"/>
      <w:sz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a">
    <w:name w:val="toa"/>
    <w:pPr>
      <w:tabs>
        <w:tab w:val="left" w:pos="0"/>
        <w:tab w:val="left" w:pos="9000"/>
        <w:tab w:val="right" w:pos="9360"/>
      </w:tabs>
      <w:suppressAutoHyphens/>
    </w:pPr>
    <w:rPr>
      <w:rFonts w:ascii="CG Times" w:hAnsi="CG Times"/>
      <w:sz w:val="24"/>
    </w:rPr>
  </w:style>
  <w:style w:type="paragraph" w:styleId="BodyText">
    <w:name w:val="Body Text"/>
    <w:basedOn w:val="Normal"/>
    <w:semiHidden/>
    <w:pPr>
      <w:tabs>
        <w:tab w:val="left" w:pos="-720"/>
      </w:tabs>
      <w:suppressAutoHyphens/>
      <w:jc w:val="both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character" w:styleId="Hyperlink">
    <w:name w:val="Hyperlink"/>
    <w:semiHidden/>
    <w:rPr>
      <w:color w:val="0000FF"/>
      <w:u w:val="single"/>
    </w:rPr>
  </w:style>
  <w:style w:type="paragraph" w:styleId="BodyText2">
    <w:name w:val="Body Text 2"/>
    <w:basedOn w:val="Normal"/>
    <w:semiHidden/>
    <w:pPr>
      <w:suppressAutoHyphens/>
      <w:jc w:val="center"/>
    </w:pPr>
  </w:style>
  <w:style w:type="paragraph" w:styleId="FootnoteText">
    <w:name w:val="footnote text"/>
    <w:basedOn w:val="Normal"/>
    <w:semiHidden/>
    <w:rPr>
      <w:sz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33630"/>
    <w:pPr>
      <w:ind w:left="720"/>
    </w:pPr>
  </w:style>
  <w:style w:type="table" w:styleId="TableGrid">
    <w:name w:val="Table Grid"/>
    <w:basedOn w:val="TableNormal"/>
    <w:uiPriority w:val="59"/>
    <w:rsid w:val="006E06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link w:val="Footer"/>
    <w:uiPriority w:val="99"/>
    <w:rsid w:val="001B50C4"/>
    <w:rPr>
      <w:rFonts w:ascii="Arial" w:hAnsi="Arial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918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3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30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7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75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4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4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7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5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1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2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3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4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7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9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8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0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3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2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5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28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1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4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630AE31-6074-4C4B-9309-E006D91BBF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1238</Words>
  <Characters>7059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ISDA</Company>
  <LinksUpToDate>false</LinksUpToDate>
  <CharactersWithSpaces>8281</CharactersWithSpaces>
  <SharedDoc>false</SharedDoc>
  <HLinks>
    <vt:vector size="12" baseType="variant">
      <vt:variant>
        <vt:i4>3997696</vt:i4>
      </vt:variant>
      <vt:variant>
        <vt:i4>3</vt:i4>
      </vt:variant>
      <vt:variant>
        <vt:i4>0</vt:i4>
      </vt:variant>
      <vt:variant>
        <vt:i4>5</vt:i4>
      </vt:variant>
      <vt:variant>
        <vt:lpwstr>mailto:jlow@isda.org</vt:lpwstr>
      </vt:variant>
      <vt:variant>
        <vt:lpwstr/>
      </vt:variant>
      <vt:variant>
        <vt:i4>4522096</vt:i4>
      </vt:variant>
      <vt:variant>
        <vt:i4>0</vt:i4>
      </vt:variant>
      <vt:variant>
        <vt:i4>0</vt:i4>
      </vt:variant>
      <vt:variant>
        <vt:i4>5</vt:i4>
      </vt:variant>
      <vt:variant>
        <vt:lpwstr>mailto:ndfamend@cliffordchance.com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Jacqueline Low</dc:creator>
  <cp:lastModifiedBy>Windows User</cp:lastModifiedBy>
  <cp:revision>2</cp:revision>
  <cp:lastPrinted>2013-08-15T03:08:00Z</cp:lastPrinted>
  <dcterms:created xsi:type="dcterms:W3CDTF">2014-02-28T09:11:00Z</dcterms:created>
  <dcterms:modified xsi:type="dcterms:W3CDTF">2014-02-28T09:11:00Z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7be881bb-50ac-4e65-93bf-46b574367b56</vt:lpwstr>
  </property>
  <property fmtid="{D5CDD505-2E9C-101B-9397-08002B2CF9AE}" pid="3" name="aliashDocumentMarking">
    <vt:lpwstr/>
  </property>
  <property fmtid="{D5CDD505-2E9C-101B-9397-08002B2CF9AE}" pid="4" name="db.comClassification">
    <vt:lpwstr>Public</vt:lpwstr>
  </property>
</Properties>
</file>