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6FA06" w14:textId="7CF029C3" w:rsidR="00541157" w:rsidRPr="002C6980" w:rsidRDefault="002C6980" w:rsidP="00541157">
      <w:pPr>
        <w:rPr>
          <w:sz w:val="28"/>
          <w:szCs w:val="28"/>
        </w:rPr>
      </w:pPr>
      <w:bookmarkStart w:id="0" w:name="_Toc58838701"/>
      <w:r w:rsidRPr="002C6980">
        <w:rPr>
          <w:rFonts w:cstheme="minorHAnsi"/>
          <w:b/>
          <w:sz w:val="28"/>
          <w:szCs w:val="28"/>
        </w:rPr>
        <w:t>Red Flag Indicators for Regulated Dealers</w:t>
      </w:r>
      <w:bookmarkEnd w:id="0"/>
    </w:p>
    <w:p w14:paraId="17825ED8" w14:textId="77777777" w:rsidR="00541157" w:rsidRPr="00BA66F9" w:rsidRDefault="00541157" w:rsidP="00541157">
      <w:pPr>
        <w:jc w:val="both"/>
        <w:rPr>
          <w:rFonts w:cstheme="minorHAnsi"/>
          <w:b/>
        </w:rPr>
      </w:pPr>
      <w:r w:rsidRPr="00BA66F9">
        <w:rPr>
          <w:rFonts w:cstheme="minorHAnsi"/>
          <w:b/>
        </w:rPr>
        <w:t>General Comments</w:t>
      </w:r>
    </w:p>
    <w:p w14:paraId="7F7D53D0" w14:textId="77777777" w:rsidR="00541157" w:rsidRPr="00BA66F9" w:rsidRDefault="00541157" w:rsidP="00541157">
      <w:pPr>
        <w:jc w:val="both"/>
        <w:rPr>
          <w:rFonts w:cstheme="minorHAnsi"/>
        </w:rPr>
      </w:pPr>
      <w:r w:rsidRPr="00BA66F9">
        <w:rPr>
          <w:rFonts w:cstheme="minorHAnsi"/>
        </w:rPr>
        <w:t>Any person, who in the course of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(“STRO”). This must be done as soon as is reasonably practicable after it comes to his attention. Please refer to the STRO’s website on how to lodge a Suspicious Transaction Report (“STR”) with STRO.</w:t>
      </w:r>
    </w:p>
    <w:p w14:paraId="0605607B" w14:textId="77777777" w:rsidR="00541157" w:rsidRPr="00BA66F9" w:rsidRDefault="00541157" w:rsidP="00541157">
      <w:pPr>
        <w:jc w:val="both"/>
        <w:rPr>
          <w:rFonts w:cstheme="minorHAnsi"/>
        </w:rPr>
      </w:pPr>
      <w:r w:rsidRPr="00BA66F9">
        <w:rPr>
          <w:rFonts w:cstheme="minorHAnsi"/>
        </w:rPr>
        <w:t>The red flag indicators that follow are meant to help PSMDs to identify some of the circumstances that could be suspicious in nature. They could indicate that property may represent proceeds of money laundering (“ML”) or terrorism financing (“TF”) or used/intended to be used in connection with ML or TF.</w:t>
      </w:r>
    </w:p>
    <w:p w14:paraId="1753035C" w14:textId="77777777" w:rsidR="00541157" w:rsidRPr="00BA66F9" w:rsidRDefault="00541157" w:rsidP="00541157">
      <w:pPr>
        <w:jc w:val="both"/>
        <w:rPr>
          <w:rFonts w:cstheme="minorHAnsi"/>
        </w:rPr>
      </w:pPr>
      <w:r w:rsidRPr="00BA66F9">
        <w:rPr>
          <w:rFonts w:cstheme="minorHAnsi"/>
        </w:rPr>
        <w:t>While each individual indicator may not be sufficient by itself to suggest ML or TF, a combination of the indicators may indicate a suspicious transaction.</w:t>
      </w:r>
    </w:p>
    <w:p w14:paraId="66B4AE7F" w14:textId="77777777" w:rsidR="00541157" w:rsidRPr="00BA66F9" w:rsidRDefault="00541157" w:rsidP="00541157">
      <w:pPr>
        <w:jc w:val="both"/>
        <w:rPr>
          <w:rFonts w:cstheme="minorHAnsi"/>
        </w:rPr>
      </w:pPr>
      <w:r w:rsidRPr="00BA66F9">
        <w:rPr>
          <w:rFonts w:cstheme="minorHAnsi"/>
        </w:rPr>
        <w:t>The list is not exhaustive. It may be updated due to changing circumstances and new methods of laundering money or financing terrorism. Please refer to STRO’s website for the latest list of red flags.</w:t>
      </w:r>
    </w:p>
    <w:p w14:paraId="3C972251" w14:textId="77777777" w:rsidR="00541157" w:rsidRPr="00BA66F9" w:rsidRDefault="00541157" w:rsidP="00541157">
      <w:pPr>
        <w:jc w:val="both"/>
        <w:rPr>
          <w:rFonts w:cstheme="minorHAnsi"/>
        </w:rPr>
      </w:pPr>
      <w:r w:rsidRPr="00BA66F9">
        <w:rPr>
          <w:rFonts w:cstheme="minorHAnsi"/>
        </w:rPr>
        <w:t>A customer’s declarations regarding such transactions should be checked for plausibility. Not every explanation offered by the customer can be accepted without scrutiny.</w:t>
      </w:r>
    </w:p>
    <w:p w14:paraId="0D0C51A6" w14:textId="77777777" w:rsidR="00541157" w:rsidRPr="00BA66F9" w:rsidRDefault="00541157" w:rsidP="00541157">
      <w:pPr>
        <w:jc w:val="both"/>
        <w:rPr>
          <w:rFonts w:cstheme="minorHAnsi"/>
        </w:rPr>
      </w:pPr>
      <w:r w:rsidRPr="00BA66F9">
        <w:rPr>
          <w:rFonts w:cstheme="minorHAnsi"/>
        </w:rPr>
        <w:t>It is reasonable to suspect any customer who is reluctant to provide normal information and documents required routinely by the PSMD before entering into a designated transaction.  PSMDs should pay attention to customers who provide minimal, false or misleading information.</w:t>
      </w:r>
    </w:p>
    <w:p w14:paraId="2CA50713" w14:textId="77777777" w:rsidR="00541157" w:rsidRPr="00BA66F9" w:rsidRDefault="00541157" w:rsidP="00541157">
      <w:pPr>
        <w:jc w:val="both"/>
        <w:rPr>
          <w:rFonts w:cstheme="minorHAnsi"/>
          <w:b/>
        </w:rPr>
      </w:pPr>
    </w:p>
    <w:p w14:paraId="520D3F77" w14:textId="77777777" w:rsidR="00541157" w:rsidRPr="00BA66F9" w:rsidRDefault="00541157" w:rsidP="00541157">
      <w:pPr>
        <w:jc w:val="both"/>
        <w:rPr>
          <w:rFonts w:cstheme="minorHAnsi"/>
          <w:b/>
        </w:rPr>
      </w:pPr>
      <w:r w:rsidRPr="00BA66F9">
        <w:rPr>
          <w:rFonts w:cstheme="minorHAnsi"/>
          <w:b/>
        </w:rPr>
        <w:t>Red Flag Indicators: Customers</w:t>
      </w:r>
    </w:p>
    <w:p w14:paraId="614890B8" w14:textId="77777777" w:rsidR="00541157" w:rsidRPr="00BA66F9" w:rsidRDefault="00541157" w:rsidP="00541157">
      <w:pPr>
        <w:jc w:val="both"/>
        <w:rPr>
          <w:rFonts w:cstheme="minorHAnsi"/>
        </w:rPr>
      </w:pPr>
      <w:r w:rsidRPr="00BA66F9">
        <w:rPr>
          <w:rFonts w:cstheme="minorHAnsi"/>
        </w:rPr>
        <w:t>A “customer” in this context means a person with whom a regulated dealer enters into or intends to enter into a transaction. Precious stones, precious metals and precious products are collectively referred to as “PSPM” in the red flag indicators.</w:t>
      </w:r>
    </w:p>
    <w:p w14:paraId="37E4D08A" w14:textId="77777777" w:rsidR="00541157" w:rsidRPr="00BA66F9" w:rsidRDefault="00541157" w:rsidP="00541157">
      <w:pPr>
        <w:jc w:val="both"/>
        <w:rPr>
          <w:rFonts w:cstheme="minorHAnsi"/>
          <w:b/>
          <w:u w:val="single"/>
        </w:rPr>
      </w:pPr>
      <w:r w:rsidRPr="00BA66F9">
        <w:rPr>
          <w:rFonts w:cstheme="minorHAnsi"/>
          <w:b/>
          <w:u w:val="single"/>
        </w:rPr>
        <w:t>Transaction Patterns</w:t>
      </w:r>
    </w:p>
    <w:p w14:paraId="602114F9" w14:textId="77777777" w:rsidR="00541157" w:rsidRPr="00BA66F9" w:rsidRDefault="00541157" w:rsidP="00541157">
      <w:pPr>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Transactions that are not consistent with the usual profile of a customer:</w:t>
      </w:r>
    </w:p>
    <w:p w14:paraId="702E824D" w14:textId="77777777" w:rsidR="00541157" w:rsidRPr="00BA66F9" w:rsidRDefault="00541157" w:rsidP="00541157">
      <w:pPr>
        <w:ind w:left="1134" w:hanging="414"/>
        <w:jc w:val="both"/>
        <w:rPr>
          <w:rFonts w:cstheme="minorHAnsi"/>
        </w:rPr>
      </w:pPr>
      <w:r w:rsidRPr="00BA66F9">
        <w:rPr>
          <w:rFonts w:cstheme="minorHAnsi"/>
        </w:rPr>
        <w:t xml:space="preserve">(a) </w:t>
      </w:r>
      <w:r w:rsidRPr="00BA66F9">
        <w:rPr>
          <w:rFonts w:cstheme="minorHAnsi"/>
        </w:rPr>
        <w:tab/>
        <w:t>Transactions that appear to be beyond the means of the customer based on his/her stated or known occupation or income;</w:t>
      </w:r>
    </w:p>
    <w:p w14:paraId="4349A8C0" w14:textId="77777777" w:rsidR="00541157" w:rsidRPr="00BA66F9" w:rsidRDefault="00541157" w:rsidP="00541157">
      <w:pPr>
        <w:ind w:left="1134" w:hanging="414"/>
        <w:jc w:val="both"/>
        <w:rPr>
          <w:rFonts w:cstheme="minorHAnsi"/>
        </w:rPr>
      </w:pPr>
      <w:r w:rsidRPr="00BA66F9">
        <w:rPr>
          <w:rFonts w:cstheme="minorHAnsi"/>
        </w:rPr>
        <w:t xml:space="preserve">(b) </w:t>
      </w:r>
      <w:r w:rsidRPr="00BA66F9">
        <w:rPr>
          <w:rFonts w:cstheme="minorHAnsi"/>
        </w:rPr>
        <w:tab/>
        <w:t>Transactions that appear to be more than the usual amount or quantity for a typical customer of the business; or</w:t>
      </w:r>
    </w:p>
    <w:p w14:paraId="7BDBB36D" w14:textId="77777777" w:rsidR="00541157" w:rsidRPr="00BA66F9" w:rsidRDefault="00541157" w:rsidP="00541157">
      <w:pPr>
        <w:ind w:left="1134" w:hanging="414"/>
        <w:jc w:val="both"/>
        <w:rPr>
          <w:rFonts w:cstheme="minorHAnsi"/>
        </w:rPr>
      </w:pPr>
      <w:r w:rsidRPr="00BA66F9">
        <w:rPr>
          <w:rFonts w:cstheme="minorHAnsi"/>
        </w:rPr>
        <w:t xml:space="preserve">(c) </w:t>
      </w:r>
      <w:r w:rsidRPr="00BA66F9">
        <w:rPr>
          <w:rFonts w:cstheme="minorHAnsi"/>
        </w:rPr>
        <w:tab/>
        <w:t>Transaction purposes that are not in line with the known or expected operations of the business.</w:t>
      </w:r>
    </w:p>
    <w:p w14:paraId="367F4918"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r>
      <w:proofErr w:type="gramStart"/>
      <w:r w:rsidRPr="00BA66F9">
        <w:rPr>
          <w:rFonts w:cstheme="minorHAnsi"/>
        </w:rPr>
        <w:t>Large</w:t>
      </w:r>
      <w:proofErr w:type="gramEnd"/>
      <w:r w:rsidRPr="00BA66F9">
        <w:rPr>
          <w:rFonts w:cstheme="minorHAnsi"/>
        </w:rPr>
        <w:t xml:space="preserve"> amounts of cash, traveller’s cheques, cashier's cheques or trade-in PSPM involved in the transactions.</w:t>
      </w:r>
    </w:p>
    <w:p w14:paraId="4C23F828" w14:textId="77777777" w:rsidR="00541157" w:rsidRPr="00BA66F9" w:rsidRDefault="00541157" w:rsidP="00541157">
      <w:pPr>
        <w:jc w:val="both"/>
        <w:rPr>
          <w:rFonts w:cstheme="minorHAnsi"/>
        </w:rPr>
      </w:pPr>
      <w:r w:rsidRPr="00BA66F9">
        <w:rPr>
          <w:rFonts w:cstheme="minorHAnsi"/>
        </w:rPr>
        <w:t>iii)</w:t>
      </w:r>
      <w:r w:rsidRPr="00BA66F9">
        <w:rPr>
          <w:rFonts w:cstheme="minorHAnsi"/>
        </w:rPr>
        <w:tab/>
        <w:t>Large or frequent transactions that are made in a foreign currency.</w:t>
      </w:r>
    </w:p>
    <w:p w14:paraId="1AF3F997" w14:textId="77777777" w:rsidR="00541157" w:rsidRPr="00BA66F9" w:rsidRDefault="00541157" w:rsidP="00541157">
      <w:pPr>
        <w:ind w:left="709" w:hanging="709"/>
        <w:jc w:val="both"/>
        <w:rPr>
          <w:rFonts w:cstheme="minorHAnsi"/>
        </w:rPr>
      </w:pPr>
      <w:r w:rsidRPr="00BA66F9">
        <w:rPr>
          <w:rFonts w:cstheme="minorHAnsi"/>
        </w:rPr>
        <w:lastRenderedPageBreak/>
        <w:t>iv)</w:t>
      </w:r>
      <w:r w:rsidRPr="00BA66F9">
        <w:rPr>
          <w:rFonts w:cstheme="minorHAnsi"/>
        </w:rPr>
        <w:tab/>
        <w:t>Transactions in which third parties are involved, either as payers or recipients of payment or PSPM, without apparent legitimate business purpose. For example:</w:t>
      </w:r>
    </w:p>
    <w:p w14:paraId="1CBACE47" w14:textId="77777777" w:rsidR="00541157" w:rsidRPr="00BA66F9" w:rsidRDefault="00541157" w:rsidP="00541157">
      <w:pPr>
        <w:ind w:left="1134" w:hanging="425"/>
        <w:jc w:val="both"/>
        <w:rPr>
          <w:rFonts w:cstheme="minorHAnsi"/>
        </w:rPr>
      </w:pPr>
      <w:r w:rsidRPr="00BA66F9">
        <w:rPr>
          <w:rFonts w:cstheme="minorHAnsi"/>
        </w:rPr>
        <w:t>(a)</w:t>
      </w:r>
      <w:r w:rsidRPr="00BA66F9">
        <w:rPr>
          <w:rFonts w:cstheme="minorHAnsi"/>
        </w:rPr>
        <w:tab/>
        <w:t>Payments received from a third party, who is not the owner of the funds, without legitimate business purpose;</w:t>
      </w:r>
    </w:p>
    <w:p w14:paraId="45884B04"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Payments of proceeds made to third parties overseas, although the transaction is between a domestic buyer and seller, and without apparent legitimate business purpose;</w:t>
      </w:r>
    </w:p>
    <w:p w14:paraId="18B2AE66"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PSPM delivered to a third party, who is not the owner or payer of funds, without legitimate business purpose; or</w:t>
      </w:r>
    </w:p>
    <w:p w14:paraId="19D93FA5"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Refunds paid to a third party, who is not the owner or payer of funds, without legitimate business purpose.</w:t>
      </w:r>
    </w:p>
    <w:p w14:paraId="3E6B6672" w14:textId="77777777" w:rsidR="00541157" w:rsidRPr="00BA66F9" w:rsidRDefault="00541157" w:rsidP="00541157">
      <w:pPr>
        <w:ind w:left="709"/>
        <w:jc w:val="both"/>
        <w:rPr>
          <w:rFonts w:cstheme="minorHAnsi"/>
        </w:rPr>
      </w:pPr>
      <w:r w:rsidRPr="00BA66F9">
        <w:rPr>
          <w:rFonts w:cstheme="minorHAnsi"/>
        </w:rPr>
        <w:t>Note: Payments may be in the form of third-party cheques or a third-party credit card.</w:t>
      </w:r>
    </w:p>
    <w:p w14:paraId="39460486"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Transactions with no apparent business purpose among associates or trading accounts for PSPM and asset-backed tokens traded using bullion, investment or asset-backed token.</w:t>
      </w:r>
    </w:p>
    <w:p w14:paraId="4E284BBD"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r>
      <w:proofErr w:type="gramStart"/>
      <w:r w:rsidRPr="00BA66F9">
        <w:rPr>
          <w:rFonts w:cstheme="minorHAnsi"/>
        </w:rPr>
        <w:t>Large</w:t>
      </w:r>
      <w:proofErr w:type="gramEnd"/>
      <w:r w:rsidRPr="00BA66F9">
        <w:rPr>
          <w:rFonts w:cstheme="minorHAnsi"/>
        </w:rPr>
        <w:t xml:space="preserv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7AEE814D"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Overpayment of transactions with a request to refund excess in cash or to a third party.</w:t>
      </w:r>
    </w:p>
    <w:p w14:paraId="2AE3598A"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Transactions involving virtual assets, especially where ownership of the virtual assets cannot be easily traced to the customer.</w:t>
      </w:r>
    </w:p>
    <w:p w14:paraId="6EEED2A1"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Transactions involving the use stolen or fraudulent payment instruments, for example a payment card that appears stolen or altered or not issued in the customer’s name. Some other possible indicators of suspicious online payment ‘card-not-present’ transactions could include:</w:t>
      </w:r>
    </w:p>
    <w:p w14:paraId="5B135FF9" w14:textId="77777777" w:rsidR="00541157" w:rsidRPr="00BA66F9" w:rsidRDefault="00541157" w:rsidP="00541157">
      <w:pPr>
        <w:ind w:left="1134" w:hanging="425"/>
        <w:jc w:val="both"/>
        <w:rPr>
          <w:rFonts w:cstheme="minorHAnsi"/>
        </w:rPr>
      </w:pPr>
      <w:r w:rsidRPr="00BA66F9">
        <w:rPr>
          <w:rFonts w:cstheme="minorHAnsi"/>
        </w:rPr>
        <w:t>(a)</w:t>
      </w:r>
      <w:r w:rsidRPr="00BA66F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1155CC78"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Same payment account, but different shipping addresses: Some criminals may share stolen payment card information with accomplices, or order PSPM for them and ask for the PSPM to be shipped to various different shipping addresses.</w:t>
      </w:r>
    </w:p>
    <w:p w14:paraId="2391D87C"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2D2ACC10"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5DE3526F" w14:textId="77777777" w:rsidR="00541157" w:rsidRPr="00BA66F9" w:rsidRDefault="00541157" w:rsidP="00541157">
      <w:pPr>
        <w:rPr>
          <w:rFonts w:cstheme="minorHAnsi"/>
        </w:rPr>
      </w:pPr>
      <w:r w:rsidRPr="00BA66F9">
        <w:rPr>
          <w:rFonts w:cstheme="minorHAnsi"/>
        </w:rPr>
        <w:br w:type="page"/>
      </w:r>
    </w:p>
    <w:p w14:paraId="74DE573E" w14:textId="77777777" w:rsidR="00541157" w:rsidRPr="00BA66F9" w:rsidRDefault="00541157" w:rsidP="00541157">
      <w:pPr>
        <w:rPr>
          <w:rFonts w:cstheme="minorHAnsi"/>
          <w:b/>
          <w:u w:val="single"/>
        </w:rPr>
      </w:pPr>
      <w:r w:rsidRPr="00BA66F9">
        <w:rPr>
          <w:rFonts w:cstheme="minorHAnsi"/>
          <w:b/>
          <w:u w:val="single"/>
        </w:rPr>
        <w:lastRenderedPageBreak/>
        <w:t>Customer Behaviour</w:t>
      </w:r>
    </w:p>
    <w:p w14:paraId="10C5ED72" w14:textId="77777777" w:rsidR="00541157" w:rsidRPr="00BA66F9" w:rsidRDefault="00541157" w:rsidP="00541157">
      <w:pPr>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The customer appears to be structuring amounts to avoid customer identification or reporting threshold. For example, numerous transactions by a customer, especially over a short period of time, such that the amount of each transaction is not substantial (</w:t>
      </w:r>
      <w:proofErr w:type="gramStart"/>
      <w:r w:rsidRPr="00BA66F9">
        <w:rPr>
          <w:rFonts w:cstheme="minorHAnsi"/>
        </w:rPr>
        <w:t>e.g.</w:t>
      </w:r>
      <w:proofErr w:type="gramEnd"/>
      <w:r w:rsidRPr="00BA66F9">
        <w:rPr>
          <w:rFonts w:cstheme="minorHAnsi"/>
        </w:rPr>
        <w:t xml:space="preserve"> below the regulatory threshold for CDD), but the cumulative total of which is substantial.</w:t>
      </w:r>
    </w:p>
    <w:p w14:paraId="1432F513" w14:textId="77777777" w:rsidR="00541157" w:rsidRPr="00BA66F9" w:rsidRDefault="00541157" w:rsidP="00541157">
      <w:pPr>
        <w:ind w:left="709"/>
        <w:jc w:val="both"/>
        <w:rPr>
          <w:rFonts w:cstheme="minorHAnsi"/>
        </w:rPr>
      </w:pPr>
      <w:r w:rsidRPr="00BA66F9">
        <w:rPr>
          <w:rFonts w:cstheme="minorHAnsi"/>
        </w:rPr>
        <w:t>Note: especially if just below S$20,000 cash reporting threshold.</w:t>
      </w:r>
    </w:p>
    <w:p w14:paraId="01F09866"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The customer makes enquiries about refund policies and requests for large refunds subsequently.</w:t>
      </w:r>
    </w:p>
    <w:p w14:paraId="061320E7"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 xml:space="preserve">The customer is suspected to be using forged, fraudulent or false identity documents for due diligence and record keeping purposes, </w:t>
      </w:r>
      <w:proofErr w:type="gramStart"/>
      <w:r w:rsidRPr="00BA66F9">
        <w:rPr>
          <w:rFonts w:cstheme="minorHAnsi"/>
        </w:rPr>
        <w:t>e.g.</w:t>
      </w:r>
      <w:proofErr w:type="gramEnd"/>
      <w:r w:rsidRPr="00BA66F9">
        <w:rPr>
          <w:rFonts w:cstheme="minorHAnsi"/>
        </w:rPr>
        <w:t xml:space="preserve"> </w:t>
      </w:r>
      <w:r w:rsidRPr="00BA66F9">
        <w:rPr>
          <w:color w:val="000000"/>
          <w:lang w:eastAsia="zh-CN"/>
        </w:rPr>
        <w:t>the customer presents identification documents with recent issue dates</w:t>
      </w:r>
      <w:r w:rsidRPr="00BA66F9">
        <w:rPr>
          <w:rFonts w:cstheme="minorHAnsi"/>
        </w:rPr>
        <w:t>.</w:t>
      </w:r>
    </w:p>
    <w:p w14:paraId="26E1F8F7" w14:textId="77777777" w:rsidR="00541157" w:rsidRPr="00BA66F9" w:rsidRDefault="00541157" w:rsidP="00541157">
      <w:pPr>
        <w:ind w:left="709" w:hanging="709"/>
        <w:jc w:val="both"/>
        <w:rPr>
          <w:rFonts w:cstheme="minorHAnsi"/>
        </w:rPr>
      </w:pPr>
      <w:r w:rsidRPr="00BA66F9">
        <w:rPr>
          <w:rFonts w:cstheme="minorHAnsi"/>
        </w:rPr>
        <w:t>iv)</w:t>
      </w:r>
      <w:r w:rsidRPr="00BA66F9">
        <w:rPr>
          <w:rFonts w:cstheme="minorHAnsi"/>
        </w:rPr>
        <w:tab/>
        <w:t>The customer is unusually concerned with the PSMD’s anti-money laundering and countering the financing of terrorism (“AML/CFT”) policies.</w:t>
      </w:r>
    </w:p>
    <w:p w14:paraId="4618EB4B"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The customer fails to provide sufficient explanation and/or documents for the source of funds for his transaction. For example, the customer attempts to use a third-party cheque or credit card in which the source of funds or underlying ownership cannot be easily traced to the customer or is questionable.</w:t>
      </w:r>
    </w:p>
    <w:p w14:paraId="45078974"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t>The customer attempts to maintain a high degree of secrecy with respect to the transaction, for example:</w:t>
      </w:r>
    </w:p>
    <w:p w14:paraId="4D310A32"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To request that normal business records not to be kept; or</w:t>
      </w:r>
    </w:p>
    <w:p w14:paraId="6D60FEF2"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The customer is unable or unwilling to provide information for due diligence and record keeping purposes.</w:t>
      </w:r>
    </w:p>
    <w:p w14:paraId="3D218180"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The customer is unable or unwilling to identify beneficial owners or controlling interest, where this would be commercially expected.</w:t>
      </w:r>
    </w:p>
    <w:p w14:paraId="4971E171"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The customer is vague or refuses to provide information on the reason for buying or selling PSPM, or about the origin of the items.</w:t>
      </w:r>
    </w:p>
    <w:p w14:paraId="30E29301"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The customer or the declared owner of the funds is traced to negative news or crime. For example, the person is named in a reliable source (which can include a media or other open sources) that the person is suspected of being involved in illegal activity, or detected when screened against UN Security Council Resolutions (UNSCRs).</w:t>
      </w:r>
    </w:p>
    <w:p w14:paraId="7F2E56DD"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The customer appears to be related to a high-risk country or territory or entity that is associated with money laundering or terrorism activities or a person that has been designated as terrorists.</w:t>
      </w:r>
    </w:p>
    <w:p w14:paraId="2FC763C2"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The customer dramatically increases purchases of PSPM for no apparent reason or is willing to sell PSPM at a rate significantly lower than their typical sale value.</w:t>
      </w:r>
    </w:p>
    <w:p w14:paraId="0F4ACC8A" w14:textId="77777777" w:rsidR="00541157" w:rsidRPr="00BA66F9" w:rsidRDefault="00541157" w:rsidP="00541157">
      <w:pPr>
        <w:ind w:left="709" w:hanging="709"/>
        <w:jc w:val="both"/>
        <w:rPr>
          <w:rFonts w:cstheme="minorHAnsi"/>
        </w:rPr>
      </w:pPr>
      <w:r w:rsidRPr="00BA66F9">
        <w:rPr>
          <w:rFonts w:cstheme="minorHAnsi"/>
        </w:rPr>
        <w:t>x)</w:t>
      </w:r>
      <w:r w:rsidRPr="00BA66F9">
        <w:rPr>
          <w:rFonts w:cstheme="minorHAnsi"/>
        </w:rPr>
        <w:tab/>
        <w:t>The customer is employed by a PSMD but is dealing in his personal capacity.</w:t>
      </w:r>
    </w:p>
    <w:p w14:paraId="4395936A" w14:textId="77777777" w:rsidR="00541157" w:rsidRPr="00BA66F9" w:rsidRDefault="00541157" w:rsidP="00541157">
      <w:pPr>
        <w:ind w:left="709" w:hanging="709"/>
        <w:jc w:val="both"/>
        <w:rPr>
          <w:rFonts w:cstheme="minorHAnsi"/>
        </w:rPr>
      </w:pPr>
      <w:r w:rsidRPr="00BA66F9">
        <w:rPr>
          <w:rFonts w:cstheme="minorHAnsi"/>
        </w:rPr>
        <w:t>xi)</w:t>
      </w:r>
      <w:r w:rsidRPr="00BA66F9">
        <w:rPr>
          <w:rFonts w:cstheme="minorHAnsi"/>
        </w:rPr>
        <w:tab/>
        <w:t>The customer uses alternative addresses for delivery such as a General Post Office (GPO), private service provider mailbox or third parties to receive purchases.</w:t>
      </w:r>
    </w:p>
    <w:p w14:paraId="5C4515B5" w14:textId="77777777" w:rsidR="00541157" w:rsidRPr="00BA66F9" w:rsidRDefault="00541157" w:rsidP="00541157">
      <w:pPr>
        <w:ind w:left="709" w:hanging="709"/>
        <w:jc w:val="both"/>
        <w:rPr>
          <w:rFonts w:cstheme="minorHAnsi"/>
        </w:rPr>
      </w:pPr>
      <w:r w:rsidRPr="00BA66F9">
        <w:rPr>
          <w:rFonts w:cstheme="minorHAnsi"/>
        </w:rPr>
        <w:lastRenderedPageBreak/>
        <w:t>xii)</w:t>
      </w:r>
      <w:r w:rsidRPr="00BA66F9">
        <w:rPr>
          <w:rFonts w:cstheme="minorHAnsi"/>
        </w:rPr>
        <w:tab/>
        <w:t>The customer appears to be in a hurry to complete the transaction.</w:t>
      </w:r>
    </w:p>
    <w:p w14:paraId="615EB68A" w14:textId="77777777" w:rsidR="00541157" w:rsidRPr="00BA66F9" w:rsidRDefault="00541157" w:rsidP="00541157">
      <w:pPr>
        <w:ind w:left="709" w:hanging="709"/>
        <w:jc w:val="both"/>
        <w:rPr>
          <w:rFonts w:cstheme="minorHAnsi"/>
        </w:rPr>
      </w:pPr>
      <w:r w:rsidRPr="00BA66F9">
        <w:rPr>
          <w:rFonts w:cstheme="minorHAnsi"/>
        </w:rPr>
        <w:t>xiii)</w:t>
      </w:r>
      <w:r w:rsidRPr="00BA66F9">
        <w:rPr>
          <w:rFonts w:cstheme="minorHAnsi"/>
        </w:rPr>
        <w:tab/>
        <w:t>The customer purchases PSPM without consideration for the value, size and/or colour of the PSPM or other costs (</w:t>
      </w:r>
      <w:proofErr w:type="gramStart"/>
      <w:r w:rsidRPr="00BA66F9">
        <w:rPr>
          <w:rFonts w:cstheme="minorHAnsi"/>
        </w:rPr>
        <w:t>e.g.</w:t>
      </w:r>
      <w:proofErr w:type="gramEnd"/>
      <w:r w:rsidRPr="00BA66F9">
        <w:rPr>
          <w:rFonts w:cstheme="minorHAnsi"/>
        </w:rPr>
        <w:t xml:space="preserve"> the extra expense of rush shipping) in the transaction.</w:t>
      </w:r>
    </w:p>
    <w:p w14:paraId="098DBAA8" w14:textId="77777777" w:rsidR="00541157" w:rsidRPr="00BA66F9" w:rsidRDefault="00541157" w:rsidP="00541157">
      <w:pPr>
        <w:ind w:left="709" w:hanging="709"/>
        <w:jc w:val="both"/>
        <w:rPr>
          <w:color w:val="000000"/>
          <w:lang w:eastAsia="zh-CN"/>
        </w:rPr>
      </w:pPr>
      <w:r w:rsidRPr="00BA66F9">
        <w:rPr>
          <w:rFonts w:cstheme="minorHAnsi"/>
        </w:rPr>
        <w:t>xiv)</w:t>
      </w:r>
      <w:r w:rsidRPr="00BA66F9">
        <w:rPr>
          <w:rFonts w:cstheme="minorHAnsi"/>
        </w:rPr>
        <w:tab/>
      </w:r>
      <w:r w:rsidRPr="00BA66F9">
        <w:rPr>
          <w:color w:val="000000"/>
          <w:lang w:eastAsia="zh-CN"/>
        </w:rPr>
        <w:t>The customer is accompanied by others who appear suspicious (</w:t>
      </w:r>
      <w:proofErr w:type="gramStart"/>
      <w:r w:rsidRPr="00BA66F9">
        <w:rPr>
          <w:color w:val="000000"/>
          <w:lang w:eastAsia="zh-CN"/>
        </w:rPr>
        <w:t>e.g.</w:t>
      </w:r>
      <w:proofErr w:type="gramEnd"/>
      <w:r w:rsidRPr="00BA66F9">
        <w:rPr>
          <w:color w:val="000000"/>
          <w:lang w:eastAsia="zh-CN"/>
        </w:rPr>
        <w:t xml:space="preserve"> lurking outside the premise and closely monitoring the customer) and is in doubt when asked for further details.</w:t>
      </w:r>
    </w:p>
    <w:p w14:paraId="1D3E6F70" w14:textId="77777777" w:rsidR="00541157" w:rsidRPr="00BA66F9" w:rsidRDefault="00541157" w:rsidP="00541157">
      <w:pPr>
        <w:jc w:val="both"/>
        <w:rPr>
          <w:color w:val="000000"/>
          <w:lang w:eastAsia="zh-CN"/>
        </w:rPr>
      </w:pPr>
      <w:r w:rsidRPr="00BA66F9">
        <w:rPr>
          <w:rFonts w:cstheme="minorHAnsi"/>
        </w:rPr>
        <w:t>xv)</w:t>
      </w:r>
      <w:r w:rsidRPr="00BA66F9">
        <w:rPr>
          <w:rFonts w:cstheme="minorHAnsi"/>
        </w:rPr>
        <w:tab/>
      </w:r>
      <w:r w:rsidRPr="00BA66F9">
        <w:rPr>
          <w:color w:val="000000"/>
          <w:lang w:eastAsia="zh-CN"/>
        </w:rPr>
        <w:t>The customer requests to alter the transaction after being asked for identity documents.</w:t>
      </w:r>
    </w:p>
    <w:p w14:paraId="7F45DC32" w14:textId="77777777" w:rsidR="00541157" w:rsidRPr="00BA66F9" w:rsidRDefault="00541157" w:rsidP="00541157">
      <w:pPr>
        <w:ind w:left="709" w:hanging="709"/>
        <w:jc w:val="both"/>
        <w:rPr>
          <w:color w:val="000000"/>
          <w:lang w:eastAsia="zh-CN"/>
        </w:rPr>
      </w:pPr>
      <w:r w:rsidRPr="00BA66F9">
        <w:rPr>
          <w:color w:val="000000"/>
          <w:lang w:eastAsia="zh-CN"/>
        </w:rPr>
        <w:t>xvi)</w:t>
      </w:r>
      <w:r w:rsidRPr="00BA66F9">
        <w:rPr>
          <w:color w:val="000000"/>
          <w:lang w:eastAsia="zh-CN"/>
        </w:rPr>
        <w:tab/>
        <w:t>The customer makes unnecessary self-disclosure that his funds are clean and not involved in any money-laundering activities.</w:t>
      </w:r>
    </w:p>
    <w:p w14:paraId="361D796E" w14:textId="77777777" w:rsidR="00541157" w:rsidRPr="00BA66F9" w:rsidRDefault="00541157" w:rsidP="00541157">
      <w:pPr>
        <w:jc w:val="both"/>
        <w:rPr>
          <w:color w:val="000000"/>
          <w:lang w:eastAsia="zh-CN"/>
        </w:rPr>
      </w:pPr>
      <w:r w:rsidRPr="00BA66F9">
        <w:rPr>
          <w:color w:val="000000"/>
          <w:lang w:eastAsia="zh-CN"/>
        </w:rPr>
        <w:t>xvii)</w:t>
      </w:r>
      <w:r w:rsidRPr="00BA66F9">
        <w:rPr>
          <w:color w:val="000000"/>
          <w:lang w:eastAsia="zh-CN"/>
        </w:rPr>
        <w:tab/>
        <w:t xml:space="preserve">The customer pays excessively for an item beyond its expected selling price in an auction. </w:t>
      </w:r>
    </w:p>
    <w:p w14:paraId="23C82FD4" w14:textId="77777777" w:rsidR="00541157" w:rsidRPr="00BA66F9" w:rsidRDefault="00541157" w:rsidP="00541157">
      <w:pPr>
        <w:ind w:left="709" w:hanging="709"/>
        <w:jc w:val="both"/>
        <w:rPr>
          <w:rFonts w:cstheme="minorHAnsi"/>
        </w:rPr>
      </w:pPr>
      <w:r w:rsidRPr="00BA66F9">
        <w:rPr>
          <w:rFonts w:cstheme="minorHAnsi"/>
        </w:rPr>
        <w:t>xviii)</w:t>
      </w:r>
      <w:r w:rsidRPr="00BA66F9">
        <w:rPr>
          <w:rFonts w:cstheme="minorHAnsi"/>
        </w:rPr>
        <w:tab/>
        <w:t>The customer insists on using cash to pay for excessively high value transactions when there was no apparent economic reason.</w:t>
      </w:r>
    </w:p>
    <w:p w14:paraId="51DF9AB3" w14:textId="77777777" w:rsidR="00541157" w:rsidRPr="00BA66F9" w:rsidRDefault="00541157" w:rsidP="00541157">
      <w:pPr>
        <w:jc w:val="both"/>
        <w:rPr>
          <w:rFonts w:cstheme="minorHAnsi"/>
          <w:b/>
        </w:rPr>
      </w:pPr>
    </w:p>
    <w:p w14:paraId="0A3EB832" w14:textId="77777777" w:rsidR="00541157" w:rsidRPr="00BA66F9" w:rsidRDefault="00541157" w:rsidP="00541157">
      <w:pPr>
        <w:jc w:val="both"/>
        <w:rPr>
          <w:rFonts w:cstheme="minorHAnsi"/>
          <w:b/>
        </w:rPr>
      </w:pPr>
      <w:r w:rsidRPr="00BA66F9">
        <w:rPr>
          <w:rFonts w:cstheme="minorHAnsi"/>
          <w:b/>
        </w:rPr>
        <w:t>Red Flag Indicators: Suppliers</w:t>
      </w:r>
    </w:p>
    <w:p w14:paraId="232D109C" w14:textId="77777777" w:rsidR="00541157" w:rsidRPr="00BA66F9" w:rsidRDefault="00541157" w:rsidP="00541157">
      <w:pPr>
        <w:jc w:val="both"/>
        <w:rPr>
          <w:rFonts w:cstheme="minorHAnsi"/>
          <w:b/>
          <w:u w:val="single"/>
        </w:rPr>
      </w:pPr>
      <w:r w:rsidRPr="00BA66F9">
        <w:rPr>
          <w:rFonts w:cstheme="minorHAnsi"/>
          <w:b/>
          <w:u w:val="single"/>
        </w:rPr>
        <w:t>Transaction Patterns</w:t>
      </w:r>
    </w:p>
    <w:p w14:paraId="12E2FE3A" w14:textId="77777777" w:rsidR="00541157" w:rsidRPr="00BA66F9" w:rsidRDefault="00541157" w:rsidP="00541157">
      <w:pPr>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Transactions that are not consistent with the usual profile of a supplier:</w:t>
      </w:r>
    </w:p>
    <w:p w14:paraId="293FAA79"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Over or under-invoicing, structured, complex, or multiple invoice requests, and high-dollar shipments that are over or underinsured; or</w:t>
      </w:r>
    </w:p>
    <w:p w14:paraId="0A7BAEAA" w14:textId="77777777" w:rsidR="00541157" w:rsidRPr="00BA66F9" w:rsidRDefault="00541157" w:rsidP="00541157">
      <w:pPr>
        <w:ind w:left="1134" w:hanging="425"/>
        <w:jc w:val="both"/>
        <w:rPr>
          <w:rFonts w:cstheme="minorHAnsi"/>
        </w:rPr>
      </w:pPr>
      <w:r w:rsidRPr="00BA66F9">
        <w:rPr>
          <w:rFonts w:cstheme="minorHAnsi"/>
        </w:rPr>
        <w:t xml:space="preserve">(b) </w:t>
      </w:r>
      <w:r w:rsidRPr="00BA66F9">
        <w:rPr>
          <w:rFonts w:cstheme="minorHAnsi"/>
        </w:rPr>
        <w:tab/>
        <w:t>Transactions which are excessive, given the amount or quality, or potential profit from the sale of PSPM; or</w:t>
      </w:r>
    </w:p>
    <w:p w14:paraId="45E866E8"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Consignment size or type of PSPM shipped appears inconsistent with the capacity of the exporter or importer. For example, the shipment or transhipment that does not make economic sense.</w:t>
      </w:r>
    </w:p>
    <w:p w14:paraId="7FC0A021" w14:textId="77777777" w:rsidR="00541157" w:rsidRPr="00BA66F9" w:rsidRDefault="00541157" w:rsidP="00541157">
      <w:pPr>
        <w:ind w:left="1134" w:hanging="425"/>
        <w:jc w:val="both"/>
        <w:rPr>
          <w:rFonts w:cstheme="minorHAnsi"/>
        </w:rPr>
      </w:pPr>
      <w:r w:rsidRPr="00BA66F9">
        <w:rPr>
          <w:rFonts w:cstheme="minorHAnsi"/>
        </w:rPr>
        <w:t xml:space="preserve">(d) </w:t>
      </w:r>
      <w:r w:rsidRPr="00BA66F9">
        <w:rPr>
          <w:rFonts w:cstheme="minorHAnsi"/>
        </w:rPr>
        <w:tab/>
        <w:t>Misclassification of gold purity, weight, origin and value on customs declaration forms.</w:t>
      </w:r>
    </w:p>
    <w:p w14:paraId="1BCC07A1" w14:textId="77777777" w:rsidR="00541157" w:rsidRPr="00BA66F9" w:rsidRDefault="00541157" w:rsidP="00541157">
      <w:pPr>
        <w:ind w:left="1134" w:hanging="425"/>
        <w:jc w:val="both"/>
        <w:rPr>
          <w:rFonts w:cstheme="minorHAnsi"/>
        </w:rPr>
      </w:pPr>
      <w:r w:rsidRPr="00BA66F9">
        <w:rPr>
          <w:rFonts w:cstheme="minorHAnsi"/>
        </w:rPr>
        <w:t xml:space="preserve">(e) </w:t>
      </w:r>
      <w:r w:rsidRPr="00BA66F9">
        <w:rPr>
          <w:rFonts w:cstheme="minorHAnsi"/>
        </w:rPr>
        <w:tab/>
        <w:t>The transaction involves the use of front or shell companies, which have no real operating activity. For example, the entity’s ownership structure appears to be doubtful or obscure or the entity refuses to provide additional information when requested.</w:t>
      </w:r>
    </w:p>
    <w:p w14:paraId="7D4D65DB"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Transactions in which third parties are involved, either as payers or recipients of payment or PSPM, without apparent legitimate purpose.</w:t>
      </w:r>
    </w:p>
    <w:p w14:paraId="1D496F82"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Funds paid to a third party who is not related to the supplier, without legitimate business purpose; or</w:t>
      </w:r>
    </w:p>
    <w:p w14:paraId="254785E6"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PSPM delivered from a third party who is not related to the supplier, without legitimate business purpose.</w:t>
      </w:r>
    </w:p>
    <w:p w14:paraId="43E8A0D2"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Transaction involving virtual assets, especially where ownership of the virtual assets cannot be easily traced to the regulated dealer and supplier.</w:t>
      </w:r>
    </w:p>
    <w:p w14:paraId="4E6E7114" w14:textId="77777777" w:rsidR="00541157" w:rsidRPr="00BA66F9" w:rsidRDefault="00541157" w:rsidP="00541157">
      <w:pPr>
        <w:jc w:val="both"/>
        <w:rPr>
          <w:rFonts w:cstheme="minorHAnsi"/>
        </w:rPr>
      </w:pPr>
    </w:p>
    <w:p w14:paraId="7DF4EF78" w14:textId="77777777" w:rsidR="00541157" w:rsidRPr="00BA66F9" w:rsidRDefault="00541157" w:rsidP="00541157">
      <w:pPr>
        <w:jc w:val="both"/>
        <w:rPr>
          <w:rFonts w:cstheme="minorHAnsi"/>
        </w:rPr>
      </w:pPr>
    </w:p>
    <w:p w14:paraId="3893BB51" w14:textId="77777777" w:rsidR="00541157" w:rsidRPr="00BA66F9" w:rsidRDefault="00541157" w:rsidP="00541157">
      <w:pPr>
        <w:jc w:val="both"/>
        <w:rPr>
          <w:rFonts w:cstheme="minorHAnsi"/>
          <w:b/>
          <w:u w:val="single"/>
        </w:rPr>
      </w:pPr>
      <w:r w:rsidRPr="00BA66F9">
        <w:rPr>
          <w:rFonts w:cstheme="minorHAnsi"/>
          <w:b/>
          <w:u w:val="single"/>
        </w:rPr>
        <w:lastRenderedPageBreak/>
        <w:t>Supplier Behaviour</w:t>
      </w:r>
    </w:p>
    <w:p w14:paraId="1685DB7C" w14:textId="77777777" w:rsidR="00541157" w:rsidRPr="00BA66F9" w:rsidRDefault="00541157" w:rsidP="00541157">
      <w:pPr>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The supplier is unable to provide information for due diligence and record keeping purposes.</w:t>
      </w:r>
    </w:p>
    <w:p w14:paraId="2841DB59"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The supplier is suspected to be using forged, fraudulent or false identity documents for due diligence and record keeping purposes.</w:t>
      </w:r>
    </w:p>
    <w:p w14:paraId="01889AC3"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 xml:space="preserve">The supplier’s origins of the PSPM appear to be fictitious, doubtful or cannot be explained. For example, the supplier sells a large amount of PSPM that originate or are known to be traded from areas not known for their production </w:t>
      </w:r>
      <w:proofErr w:type="gramStart"/>
      <w:r w:rsidRPr="00BA66F9">
        <w:rPr>
          <w:rFonts w:cstheme="minorHAnsi"/>
        </w:rPr>
        <w:t>i.e.</w:t>
      </w:r>
      <w:proofErr w:type="gramEnd"/>
      <w:r w:rsidRPr="00BA66F9">
        <w:rPr>
          <w:rFonts w:cstheme="minorHAnsi"/>
        </w:rPr>
        <w:t xml:space="preserve"> trading centres.</w:t>
      </w:r>
    </w:p>
    <w:p w14:paraId="70A5CB82" w14:textId="77777777" w:rsidR="00541157" w:rsidRPr="00BA66F9" w:rsidRDefault="00541157" w:rsidP="00541157">
      <w:pPr>
        <w:ind w:left="709" w:hanging="709"/>
        <w:jc w:val="both"/>
        <w:rPr>
          <w:rFonts w:cstheme="minorHAnsi"/>
        </w:rPr>
      </w:pPr>
      <w:r w:rsidRPr="00BA66F9">
        <w:rPr>
          <w:rFonts w:cstheme="minorHAnsi"/>
        </w:rPr>
        <w:t>iv)</w:t>
      </w:r>
      <w:r w:rsidRPr="00BA66F9">
        <w:rPr>
          <w:rFonts w:cstheme="minorHAnsi"/>
        </w:rPr>
        <w:tab/>
        <w:t>The supplier is unusually concerned with the PSMD’s AML/CFT policies.</w:t>
      </w:r>
    </w:p>
    <w:p w14:paraId="237D1B90"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The supplier attempts to maintain a high degree of secrecy with respect to the transaction, for example –</w:t>
      </w:r>
    </w:p>
    <w:p w14:paraId="11972088"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Request that normal business records not to be kept; or</w:t>
      </w:r>
    </w:p>
    <w:p w14:paraId="6DC7C43D"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Unwillingness to identify beneficial owners or controlling interests, where this would be commercially expected; or</w:t>
      </w:r>
    </w:p>
    <w:p w14:paraId="23C05943"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Request for payments to be made through money services businesses or other non-bank financial institutions for no apparent legitimate business purposes.</w:t>
      </w:r>
    </w:p>
    <w:p w14:paraId="252D37FB" w14:textId="77777777" w:rsidR="00541157" w:rsidRPr="00BA66F9" w:rsidRDefault="00541157" w:rsidP="00541157">
      <w:pPr>
        <w:ind w:left="1134" w:hanging="425"/>
        <w:jc w:val="both"/>
        <w:rPr>
          <w:rFonts w:cstheme="minorHAnsi"/>
        </w:rPr>
      </w:pPr>
      <w:r w:rsidRPr="00BA66F9">
        <w:rPr>
          <w:rFonts w:cstheme="minorHAnsi"/>
        </w:rPr>
        <w:t xml:space="preserve">(d) </w:t>
      </w:r>
      <w:r w:rsidRPr="00BA66F9">
        <w:rPr>
          <w:rFonts w:cstheme="minorHAnsi"/>
        </w:rPr>
        <w:tab/>
        <w:t>Is vague or refuses to provide information on the reason for selling or buying PSPM, or about the origin of the items.</w:t>
      </w:r>
    </w:p>
    <w:p w14:paraId="52C96D73"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t>(For diamonds only) Rough diamonds are not accompanied by a valid Kimberley Process (KP) certificate. For example:</w:t>
      </w:r>
    </w:p>
    <w:p w14:paraId="1478C9BE"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No KP certificate attached to the shipment of rough diamonds; or</w:t>
      </w:r>
    </w:p>
    <w:p w14:paraId="78E04640" w14:textId="77777777" w:rsidR="00541157" w:rsidRPr="00BA66F9" w:rsidRDefault="00541157" w:rsidP="00541157">
      <w:pPr>
        <w:ind w:left="1134" w:hanging="425"/>
        <w:jc w:val="both"/>
        <w:rPr>
          <w:rFonts w:cstheme="minorHAnsi"/>
        </w:rPr>
      </w:pPr>
      <w:r w:rsidRPr="00BA66F9">
        <w:rPr>
          <w:rFonts w:cstheme="minorHAnsi"/>
        </w:rPr>
        <w:t xml:space="preserve">(b) </w:t>
      </w:r>
      <w:r w:rsidRPr="00BA66F9">
        <w:rPr>
          <w:rFonts w:cstheme="minorHAnsi"/>
        </w:rPr>
        <w:tab/>
        <w:t>The KP certificate is or appears to be forged; or</w:t>
      </w:r>
    </w:p>
    <w:p w14:paraId="4EF40959"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The KP certificate has a long validity period.</w:t>
      </w:r>
    </w:p>
    <w:p w14:paraId="03177E2B"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The supplier is traced to negative news or crime. For example, the person is named in a reliable source (which can include a media or other open sources) that the person is suspected of being involved in illegal activity, or detected when screened against UN Security Council Resolutions (UNSCRs).</w:t>
      </w:r>
    </w:p>
    <w:p w14:paraId="374FDB23"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The supplier appears to be related to a high-risk country or territory or entity that is associated with risk for money laundering or terrorism activities or a person that has been designated as terrorists.</w:t>
      </w:r>
    </w:p>
    <w:p w14:paraId="0D96AB4E"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The supplier transports the PSPM through a country or territory that is designated as ‘high risk for money laundering or terrorism activities’ for no apparent economic reason.</w:t>
      </w:r>
    </w:p>
    <w:p w14:paraId="683694CB" w14:textId="77777777" w:rsidR="00541157" w:rsidRPr="00BA66F9" w:rsidRDefault="00541157" w:rsidP="00541157">
      <w:pPr>
        <w:ind w:left="709" w:hanging="709"/>
        <w:jc w:val="both"/>
        <w:rPr>
          <w:rFonts w:cstheme="minorHAnsi"/>
        </w:rPr>
      </w:pPr>
      <w:r w:rsidRPr="00BA66F9">
        <w:rPr>
          <w:rFonts w:cstheme="minorHAnsi"/>
        </w:rPr>
        <w:t>x)</w:t>
      </w:r>
      <w:r w:rsidRPr="00BA66F9">
        <w:rPr>
          <w:rFonts w:cstheme="minorHAnsi"/>
        </w:rPr>
        <w:tab/>
        <w:t>The location to which the PSPM are moved directly to or from storage, is different from the supplier’s listed address.</w:t>
      </w:r>
    </w:p>
    <w:p w14:paraId="10F71833" w14:textId="77777777" w:rsidR="00541157" w:rsidRPr="00BA66F9" w:rsidRDefault="00541157" w:rsidP="00541157">
      <w:pPr>
        <w:ind w:left="709" w:hanging="709"/>
        <w:jc w:val="both"/>
        <w:rPr>
          <w:rFonts w:cstheme="minorHAnsi"/>
        </w:rPr>
      </w:pPr>
      <w:r w:rsidRPr="00BA66F9">
        <w:rPr>
          <w:rFonts w:cstheme="minorHAnsi"/>
        </w:rPr>
        <w:t>xi)</w:t>
      </w:r>
      <w:r w:rsidRPr="00BA66F9">
        <w:rPr>
          <w:rFonts w:cstheme="minorHAnsi"/>
        </w:rPr>
        <w:tab/>
        <w:t>The supplier uses alternative addresses as a General Post Office (GPO), private service provider mailbox which appears to be concealing its whereabouts.</w:t>
      </w:r>
    </w:p>
    <w:p w14:paraId="726817F1" w14:textId="77777777" w:rsidR="00541157" w:rsidRPr="00BA66F9" w:rsidRDefault="00541157" w:rsidP="00541157">
      <w:pPr>
        <w:ind w:left="709" w:hanging="709"/>
        <w:jc w:val="both"/>
        <w:rPr>
          <w:rFonts w:cstheme="minorHAnsi"/>
        </w:rPr>
      </w:pPr>
      <w:r w:rsidRPr="00BA66F9">
        <w:rPr>
          <w:rFonts w:cstheme="minorHAnsi"/>
        </w:rPr>
        <w:t>xii)</w:t>
      </w:r>
      <w:r w:rsidRPr="00BA66F9">
        <w:rPr>
          <w:rFonts w:cstheme="minorHAnsi"/>
        </w:rPr>
        <w:tab/>
        <w:t>The supplier appears to be in a hurry to complete transaction or is willing to sell PSPM at a rate significantly lower than their typical sale value.</w:t>
      </w:r>
    </w:p>
    <w:p w14:paraId="1E6B7A54" w14:textId="77777777" w:rsidR="00541157" w:rsidRPr="00BA66F9" w:rsidRDefault="00541157" w:rsidP="00541157">
      <w:pPr>
        <w:ind w:left="709" w:hanging="709"/>
        <w:jc w:val="both"/>
        <w:rPr>
          <w:rFonts w:cstheme="minorHAnsi"/>
        </w:rPr>
      </w:pPr>
      <w:r w:rsidRPr="00BA66F9">
        <w:rPr>
          <w:rFonts w:cstheme="minorHAnsi"/>
        </w:rPr>
        <w:lastRenderedPageBreak/>
        <w:t>xiii)</w:t>
      </w:r>
      <w:r w:rsidRPr="00BA66F9">
        <w:rPr>
          <w:rFonts w:cstheme="minorHAnsi"/>
        </w:rPr>
        <w:tab/>
        <w:t>The supplier does not appear to understand the PSPM industry, or lacks the appropriate equipment or finances to engage in regulated activity in the PSPM industry.</w:t>
      </w:r>
    </w:p>
    <w:p w14:paraId="1C40B312" w14:textId="77777777" w:rsidR="00541157" w:rsidRPr="00BA66F9" w:rsidRDefault="00541157" w:rsidP="00541157">
      <w:pPr>
        <w:ind w:left="709" w:hanging="709"/>
        <w:jc w:val="both"/>
        <w:rPr>
          <w:rFonts w:cstheme="minorHAnsi"/>
        </w:rPr>
      </w:pPr>
      <w:r w:rsidRPr="00BA66F9">
        <w:rPr>
          <w:rFonts w:cstheme="minorHAnsi"/>
        </w:rPr>
        <w:t>xiv)</w:t>
      </w:r>
      <w:r w:rsidRPr="00BA66F9">
        <w:rPr>
          <w:rFonts w:cstheme="minorHAnsi"/>
        </w:rPr>
        <w:tab/>
        <w:t>The supplier appears to be uninterested in or uninformed about the structure or transactions of their PSPM business.</w:t>
      </w:r>
    </w:p>
    <w:p w14:paraId="7922891C" w14:textId="77777777" w:rsidR="00541157" w:rsidRPr="00BA66F9" w:rsidRDefault="00541157" w:rsidP="00541157">
      <w:pPr>
        <w:ind w:left="709" w:hanging="709"/>
        <w:jc w:val="both"/>
        <w:rPr>
          <w:rFonts w:cstheme="minorHAnsi"/>
        </w:rPr>
      </w:pPr>
      <w:r w:rsidRPr="00BA66F9">
        <w:rPr>
          <w:rFonts w:cstheme="minorHAnsi"/>
        </w:rPr>
        <w:t>xv)</w:t>
      </w:r>
      <w:r w:rsidRPr="00BA66F9">
        <w:rPr>
          <w:rFonts w:cstheme="minorHAnsi"/>
        </w:rPr>
        <w:tab/>
      </w:r>
      <w:proofErr w:type="gramStart"/>
      <w:r w:rsidRPr="00BA66F9">
        <w:rPr>
          <w:rFonts w:cstheme="minorHAnsi"/>
        </w:rPr>
        <w:t>Other</w:t>
      </w:r>
      <w:proofErr w:type="gramEnd"/>
      <w:r w:rsidRPr="00BA66F9">
        <w:rPr>
          <w:rFonts w:cstheme="minorHAnsi"/>
        </w:rPr>
        <w:t xml:space="preserve">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different to identify the supplier.</w:t>
      </w:r>
    </w:p>
    <w:p w14:paraId="3CF2F3A1" w14:textId="77777777" w:rsidR="00541157" w:rsidRPr="00BA66F9" w:rsidRDefault="00541157" w:rsidP="00541157">
      <w:pPr>
        <w:pStyle w:val="Default"/>
        <w:rPr>
          <w:b/>
          <w:bCs/>
          <w:sz w:val="23"/>
          <w:szCs w:val="23"/>
        </w:rPr>
      </w:pPr>
    </w:p>
    <w:p w14:paraId="4F793616" w14:textId="77777777" w:rsidR="00541157" w:rsidRPr="00BA66F9" w:rsidRDefault="00541157" w:rsidP="00541157">
      <w:pPr>
        <w:pStyle w:val="Default"/>
        <w:rPr>
          <w:sz w:val="23"/>
          <w:szCs w:val="23"/>
        </w:rPr>
      </w:pPr>
      <w:r w:rsidRPr="00BA66F9">
        <w:rPr>
          <w:b/>
          <w:bCs/>
          <w:sz w:val="23"/>
          <w:szCs w:val="23"/>
        </w:rPr>
        <w:t xml:space="preserve">Staying on top of emerging AML/CFT developments during COVID-19 Pandemic </w:t>
      </w:r>
    </w:p>
    <w:p w14:paraId="781CD895" w14:textId="77777777" w:rsidR="00541157" w:rsidRPr="00BA66F9" w:rsidRDefault="00541157" w:rsidP="00541157">
      <w:pPr>
        <w:jc w:val="both"/>
        <w:rPr>
          <w:rFonts w:cstheme="minorHAnsi"/>
        </w:rPr>
      </w:pPr>
    </w:p>
    <w:p w14:paraId="05ADD03B" w14:textId="77777777" w:rsidR="00541157" w:rsidRPr="00BA66F9" w:rsidRDefault="00541157" w:rsidP="00541157">
      <w:pPr>
        <w:jc w:val="both"/>
        <w:rPr>
          <w:rFonts w:cstheme="minorHAnsi"/>
        </w:rPr>
      </w:pPr>
      <w:r w:rsidRPr="00BA66F9">
        <w:rPr>
          <w:rFonts w:cstheme="minorHAnsi"/>
        </w:rPr>
        <w:t>The economic and public health disruptions caused by COVID-19 are likely to lead to significant changes in the behaviour of both legitimate actors as well as criminals. PSMDs should remain vigilant to the following trends and financial crime typologies during this period:</w:t>
      </w:r>
    </w:p>
    <w:p w14:paraId="781A23E6" w14:textId="77777777" w:rsidR="00541157" w:rsidRPr="00BA66F9" w:rsidRDefault="00541157" w:rsidP="00541157">
      <w:pPr>
        <w:autoSpaceDE w:val="0"/>
        <w:autoSpaceDN w:val="0"/>
        <w:adjustRightInd w:val="0"/>
        <w:spacing w:after="0" w:line="240" w:lineRule="auto"/>
        <w:ind w:left="709" w:hanging="709"/>
        <w:jc w:val="both"/>
        <w:rPr>
          <w:rFonts w:cstheme="minorHAnsi"/>
        </w:rPr>
      </w:pPr>
      <w:proofErr w:type="spellStart"/>
      <w:r w:rsidRPr="00BA66F9">
        <w:rPr>
          <w:rFonts w:cstheme="minorHAnsi"/>
        </w:rPr>
        <w:t>i</w:t>
      </w:r>
      <w:proofErr w:type="spellEnd"/>
      <w:r w:rsidRPr="00BA66F9">
        <w:rPr>
          <w:rFonts w:cstheme="minorHAnsi"/>
        </w:rPr>
        <w:t xml:space="preserve">) </w:t>
      </w:r>
      <w:r w:rsidRPr="00BA66F9">
        <w:rPr>
          <w:rFonts w:cstheme="minorHAnsi"/>
        </w:rPr>
        <w:tab/>
        <w:t>Criminals finding ways to bypass CDD measures.</w:t>
      </w:r>
    </w:p>
    <w:p w14:paraId="1DE01ECD"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3A0A55D8"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ii)</w:t>
      </w:r>
      <w:r w:rsidRPr="00BA66F9">
        <w:rPr>
          <w:rFonts w:cstheme="minorHAnsi"/>
        </w:rPr>
        <w:tab/>
        <w:t>Increased misuse of online financial services and virtual assets to move and conceal illicit funds.</w:t>
      </w:r>
    </w:p>
    <w:p w14:paraId="398C223A"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5009CDFB"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iii)</w:t>
      </w:r>
      <w:r w:rsidRPr="00BA66F9">
        <w:rPr>
          <w:rFonts w:cstheme="minorHAnsi"/>
        </w:rPr>
        <w:tab/>
        <w:t>Exploiting economic stimulus measures and insolvency schemes as a means for natural and legal persons to conceal and launder illicit proceeds.</w:t>
      </w:r>
    </w:p>
    <w:p w14:paraId="232FF7E4"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0245BA47"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iv)</w:t>
      </w:r>
      <w:r w:rsidRPr="00BA66F9">
        <w:rPr>
          <w:rFonts w:cstheme="minorHAnsi"/>
        </w:rPr>
        <w:tab/>
        <w:t>Increased use of the unregulated financial sector, creating additional opportunities for criminals to launder illicit funds.</w:t>
      </w:r>
    </w:p>
    <w:p w14:paraId="4807DE1B"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70E08102"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v)</w:t>
      </w:r>
      <w:r w:rsidRPr="00BA66F9">
        <w:rPr>
          <w:rFonts w:cstheme="minorHAnsi"/>
        </w:rPr>
        <w:tab/>
        <w:t>Misuse and misappropriation of domestic and international financial aid and emergency funding.</w:t>
      </w:r>
    </w:p>
    <w:p w14:paraId="6FC21A57"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3BD301B6" w14:textId="0E7924C7" w:rsidR="000F206E" w:rsidRPr="002C6980" w:rsidRDefault="00541157" w:rsidP="002C6980">
      <w:pPr>
        <w:autoSpaceDE w:val="0"/>
        <w:autoSpaceDN w:val="0"/>
        <w:adjustRightInd w:val="0"/>
        <w:spacing w:after="0" w:line="240" w:lineRule="auto"/>
        <w:ind w:left="709" w:hanging="709"/>
        <w:jc w:val="both"/>
        <w:rPr>
          <w:rFonts w:cstheme="minorHAnsi"/>
        </w:rPr>
      </w:pPr>
      <w:r w:rsidRPr="00BA66F9">
        <w:rPr>
          <w:rFonts w:cstheme="minorHAnsi"/>
        </w:rPr>
        <w:t>vi)</w:t>
      </w:r>
      <w:r w:rsidRPr="00BA66F9">
        <w:rPr>
          <w:rFonts w:cstheme="minorHAnsi"/>
        </w:rPr>
        <w:tab/>
        <w:t>Criminals and terrorists exploiting COVID-19 and the associated economic downturn to move into new cash-intensive and high-liquidity lines of business in developing countries.</w:t>
      </w:r>
      <w:bookmarkStart w:id="1" w:name="_Annex_E_Sample"/>
      <w:bookmarkEnd w:id="1"/>
      <w:r w:rsidR="002C6980" w:rsidRPr="00541157">
        <w:t xml:space="preserve"> </w:t>
      </w:r>
    </w:p>
    <w:sectPr w:rsidR="000F206E" w:rsidRPr="002C6980" w:rsidSect="001A5456">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A4E7D" w14:textId="77777777" w:rsidR="005167BA" w:rsidRDefault="005167BA">
      <w:pPr>
        <w:spacing w:after="0" w:line="240" w:lineRule="auto"/>
      </w:pPr>
      <w:r>
        <w:separator/>
      </w:r>
    </w:p>
  </w:endnote>
  <w:endnote w:type="continuationSeparator" w:id="0">
    <w:p w14:paraId="1A8A9E50" w14:textId="77777777" w:rsidR="005167BA" w:rsidRDefault="00516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65134"/>
      <w:docPartObj>
        <w:docPartGallery w:val="Page Numbers (Bottom of Page)"/>
        <w:docPartUnique/>
      </w:docPartObj>
    </w:sdtPr>
    <w:sdtContent>
      <w:sdt>
        <w:sdtPr>
          <w:id w:val="-2019305835"/>
          <w:docPartObj>
            <w:docPartGallery w:val="Page Numbers (Top of Page)"/>
            <w:docPartUnique/>
          </w:docPartObj>
        </w:sdtPr>
        <w:sdtContent>
          <w:p w14:paraId="3046498D" w14:textId="19F86C9B" w:rsidR="0097756C" w:rsidRDefault="0097756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26E8CBC8" w14:textId="516B7E9E" w:rsidR="0097756C" w:rsidRDefault="0097756C">
    <w:pPr>
      <w:pStyle w:val="Footer"/>
    </w:pPr>
    <w:r>
      <w:t>Guidelines for Regulated Dealers Version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D3B42" w14:textId="77777777" w:rsidR="005167BA" w:rsidRDefault="005167BA">
      <w:pPr>
        <w:spacing w:after="0" w:line="240" w:lineRule="auto"/>
      </w:pPr>
      <w:r>
        <w:separator/>
      </w:r>
    </w:p>
  </w:footnote>
  <w:footnote w:type="continuationSeparator" w:id="0">
    <w:p w14:paraId="3E41AA59" w14:textId="77777777" w:rsidR="005167BA" w:rsidRDefault="00516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3"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C10E4C"/>
    <w:multiLevelType w:val="multilevel"/>
    <w:tmpl w:val="8BE085E8"/>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8"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C4F24D0"/>
    <w:multiLevelType w:val="hybridMultilevel"/>
    <w:tmpl w:val="A678B3FA"/>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17"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8"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0"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1"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3"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5"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6"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9"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05349760">
    <w:abstractNumId w:val="5"/>
  </w:num>
  <w:num w:numId="2" w16cid:durableId="395007538">
    <w:abstractNumId w:val="6"/>
  </w:num>
  <w:num w:numId="3" w16cid:durableId="655185554">
    <w:abstractNumId w:val="4"/>
  </w:num>
  <w:num w:numId="4" w16cid:durableId="286589833">
    <w:abstractNumId w:val="14"/>
  </w:num>
  <w:num w:numId="5" w16cid:durableId="1998608849">
    <w:abstractNumId w:val="7"/>
  </w:num>
  <w:num w:numId="6" w16cid:durableId="1922181780">
    <w:abstractNumId w:val="25"/>
  </w:num>
  <w:num w:numId="7" w16cid:durableId="1516142537">
    <w:abstractNumId w:val="22"/>
  </w:num>
  <w:num w:numId="8" w16cid:durableId="1787776946">
    <w:abstractNumId w:val="2"/>
  </w:num>
  <w:num w:numId="9" w16cid:durableId="1934390577">
    <w:abstractNumId w:val="30"/>
  </w:num>
  <w:num w:numId="10" w16cid:durableId="1640915877">
    <w:abstractNumId w:val="3"/>
  </w:num>
  <w:num w:numId="11" w16cid:durableId="1700006461">
    <w:abstractNumId w:val="28"/>
  </w:num>
  <w:num w:numId="12" w16cid:durableId="48506063">
    <w:abstractNumId w:val="19"/>
  </w:num>
  <w:num w:numId="13" w16cid:durableId="1194417574">
    <w:abstractNumId w:val="31"/>
  </w:num>
  <w:num w:numId="14" w16cid:durableId="814105920">
    <w:abstractNumId w:val="11"/>
  </w:num>
  <w:num w:numId="15" w16cid:durableId="524903222">
    <w:abstractNumId w:val="13"/>
  </w:num>
  <w:num w:numId="16" w16cid:durableId="1361735549">
    <w:abstractNumId w:val="21"/>
  </w:num>
  <w:num w:numId="17" w16cid:durableId="1270047846">
    <w:abstractNumId w:val="29"/>
  </w:num>
  <w:num w:numId="18" w16cid:durableId="397945364">
    <w:abstractNumId w:val="12"/>
  </w:num>
  <w:num w:numId="19" w16cid:durableId="632635765">
    <w:abstractNumId w:val="16"/>
  </w:num>
  <w:num w:numId="20" w16cid:durableId="1456562896">
    <w:abstractNumId w:val="18"/>
  </w:num>
  <w:num w:numId="21" w16cid:durableId="1326740140">
    <w:abstractNumId w:val="23"/>
  </w:num>
  <w:num w:numId="22" w16cid:durableId="1069692624">
    <w:abstractNumId w:val="8"/>
  </w:num>
  <w:num w:numId="23" w16cid:durableId="13258908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483332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215342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216593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0472110">
    <w:abstractNumId w:val="1"/>
  </w:num>
  <w:num w:numId="28" w16cid:durableId="1330912399">
    <w:abstractNumId w:val="26"/>
  </w:num>
  <w:num w:numId="29" w16cid:durableId="2048334422">
    <w:abstractNumId w:val="15"/>
  </w:num>
  <w:num w:numId="30" w16cid:durableId="314115374">
    <w:abstractNumId w:val="10"/>
  </w:num>
  <w:num w:numId="31" w16cid:durableId="1997830494">
    <w:abstractNumId w:val="0"/>
  </w:num>
  <w:num w:numId="32" w16cid:durableId="107436109">
    <w:abstractNumId w:val="27"/>
  </w:num>
  <w:num w:numId="33" w16cid:durableId="1213150236">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09"/>
    <w:rsid w:val="00000F58"/>
    <w:rsid w:val="0000176A"/>
    <w:rsid w:val="0000199D"/>
    <w:rsid w:val="000045B3"/>
    <w:rsid w:val="00005E68"/>
    <w:rsid w:val="000076D3"/>
    <w:rsid w:val="00013178"/>
    <w:rsid w:val="00015E80"/>
    <w:rsid w:val="00015F67"/>
    <w:rsid w:val="00016408"/>
    <w:rsid w:val="000167C0"/>
    <w:rsid w:val="0001730C"/>
    <w:rsid w:val="00022774"/>
    <w:rsid w:val="0002671A"/>
    <w:rsid w:val="00027D85"/>
    <w:rsid w:val="00030D4C"/>
    <w:rsid w:val="00031B4D"/>
    <w:rsid w:val="0003353E"/>
    <w:rsid w:val="000348E6"/>
    <w:rsid w:val="00035780"/>
    <w:rsid w:val="00040FE0"/>
    <w:rsid w:val="000442DF"/>
    <w:rsid w:val="0005080F"/>
    <w:rsid w:val="00052637"/>
    <w:rsid w:val="0005298E"/>
    <w:rsid w:val="00053BC9"/>
    <w:rsid w:val="00053FDE"/>
    <w:rsid w:val="000548C1"/>
    <w:rsid w:val="0005547D"/>
    <w:rsid w:val="000578DA"/>
    <w:rsid w:val="00057BC2"/>
    <w:rsid w:val="000606E4"/>
    <w:rsid w:val="00060CA0"/>
    <w:rsid w:val="000610AF"/>
    <w:rsid w:val="0006258E"/>
    <w:rsid w:val="0006280E"/>
    <w:rsid w:val="000666C4"/>
    <w:rsid w:val="00066D50"/>
    <w:rsid w:val="00067A95"/>
    <w:rsid w:val="00067F3E"/>
    <w:rsid w:val="00067FDC"/>
    <w:rsid w:val="000720A3"/>
    <w:rsid w:val="00072C95"/>
    <w:rsid w:val="00073254"/>
    <w:rsid w:val="00073DE0"/>
    <w:rsid w:val="00074834"/>
    <w:rsid w:val="000751E4"/>
    <w:rsid w:val="00076E42"/>
    <w:rsid w:val="000800F8"/>
    <w:rsid w:val="00081214"/>
    <w:rsid w:val="0008125D"/>
    <w:rsid w:val="00081FD4"/>
    <w:rsid w:val="00082CE5"/>
    <w:rsid w:val="0008347C"/>
    <w:rsid w:val="0008377E"/>
    <w:rsid w:val="00090731"/>
    <w:rsid w:val="00092ED4"/>
    <w:rsid w:val="000939B9"/>
    <w:rsid w:val="00095023"/>
    <w:rsid w:val="00097ED9"/>
    <w:rsid w:val="000A0D1F"/>
    <w:rsid w:val="000A40FF"/>
    <w:rsid w:val="000A6083"/>
    <w:rsid w:val="000A6A47"/>
    <w:rsid w:val="000A7065"/>
    <w:rsid w:val="000A7D84"/>
    <w:rsid w:val="000B000B"/>
    <w:rsid w:val="000B08C5"/>
    <w:rsid w:val="000B2420"/>
    <w:rsid w:val="000B3067"/>
    <w:rsid w:val="000B4EE5"/>
    <w:rsid w:val="000B66F2"/>
    <w:rsid w:val="000B7DE2"/>
    <w:rsid w:val="000C0A50"/>
    <w:rsid w:val="000C20D0"/>
    <w:rsid w:val="000C26A4"/>
    <w:rsid w:val="000C2ADD"/>
    <w:rsid w:val="000C347E"/>
    <w:rsid w:val="000C34BA"/>
    <w:rsid w:val="000C3B46"/>
    <w:rsid w:val="000C3F03"/>
    <w:rsid w:val="000C44F6"/>
    <w:rsid w:val="000C6F1E"/>
    <w:rsid w:val="000C7142"/>
    <w:rsid w:val="000C73D1"/>
    <w:rsid w:val="000C75FE"/>
    <w:rsid w:val="000D125F"/>
    <w:rsid w:val="000D451E"/>
    <w:rsid w:val="000D48B3"/>
    <w:rsid w:val="000D5825"/>
    <w:rsid w:val="000D61E9"/>
    <w:rsid w:val="000D6622"/>
    <w:rsid w:val="000D6A72"/>
    <w:rsid w:val="000D6E91"/>
    <w:rsid w:val="000E081E"/>
    <w:rsid w:val="000E33BE"/>
    <w:rsid w:val="000E5934"/>
    <w:rsid w:val="000E6266"/>
    <w:rsid w:val="000E6A0F"/>
    <w:rsid w:val="000E6D51"/>
    <w:rsid w:val="000E7263"/>
    <w:rsid w:val="000F1242"/>
    <w:rsid w:val="000F206E"/>
    <w:rsid w:val="000F3ABE"/>
    <w:rsid w:val="0010009C"/>
    <w:rsid w:val="00100EA3"/>
    <w:rsid w:val="0010302E"/>
    <w:rsid w:val="00103F65"/>
    <w:rsid w:val="00104DF2"/>
    <w:rsid w:val="00105EA7"/>
    <w:rsid w:val="00105EE6"/>
    <w:rsid w:val="00106AF9"/>
    <w:rsid w:val="00106E0D"/>
    <w:rsid w:val="00106ECE"/>
    <w:rsid w:val="00107CCC"/>
    <w:rsid w:val="00110265"/>
    <w:rsid w:val="00110FE6"/>
    <w:rsid w:val="00112156"/>
    <w:rsid w:val="00114A2A"/>
    <w:rsid w:val="00117967"/>
    <w:rsid w:val="00120EA1"/>
    <w:rsid w:val="001219D1"/>
    <w:rsid w:val="00121E90"/>
    <w:rsid w:val="001265FF"/>
    <w:rsid w:val="00127635"/>
    <w:rsid w:val="00131AEE"/>
    <w:rsid w:val="001337DC"/>
    <w:rsid w:val="001345CA"/>
    <w:rsid w:val="00134670"/>
    <w:rsid w:val="00135277"/>
    <w:rsid w:val="00136351"/>
    <w:rsid w:val="00140A17"/>
    <w:rsid w:val="00143523"/>
    <w:rsid w:val="00144166"/>
    <w:rsid w:val="00144CDD"/>
    <w:rsid w:val="00150162"/>
    <w:rsid w:val="00152084"/>
    <w:rsid w:val="00152352"/>
    <w:rsid w:val="00152D69"/>
    <w:rsid w:val="0015775D"/>
    <w:rsid w:val="00157A1D"/>
    <w:rsid w:val="00157E15"/>
    <w:rsid w:val="00163BCE"/>
    <w:rsid w:val="0016421B"/>
    <w:rsid w:val="00164805"/>
    <w:rsid w:val="00164B40"/>
    <w:rsid w:val="0016525E"/>
    <w:rsid w:val="00165A84"/>
    <w:rsid w:val="001661D5"/>
    <w:rsid w:val="001671BB"/>
    <w:rsid w:val="00170B63"/>
    <w:rsid w:val="00170BD4"/>
    <w:rsid w:val="00171993"/>
    <w:rsid w:val="00173BE5"/>
    <w:rsid w:val="00173C89"/>
    <w:rsid w:val="00174D46"/>
    <w:rsid w:val="001807E8"/>
    <w:rsid w:val="00182075"/>
    <w:rsid w:val="00185C3F"/>
    <w:rsid w:val="0019226D"/>
    <w:rsid w:val="00192BF4"/>
    <w:rsid w:val="0019382E"/>
    <w:rsid w:val="00193835"/>
    <w:rsid w:val="00195F7D"/>
    <w:rsid w:val="00196922"/>
    <w:rsid w:val="00197E91"/>
    <w:rsid w:val="001A0009"/>
    <w:rsid w:val="001A083D"/>
    <w:rsid w:val="001A1350"/>
    <w:rsid w:val="001A2DF4"/>
    <w:rsid w:val="001A2F50"/>
    <w:rsid w:val="001A3A99"/>
    <w:rsid w:val="001A5456"/>
    <w:rsid w:val="001A6B8A"/>
    <w:rsid w:val="001A71C5"/>
    <w:rsid w:val="001B275A"/>
    <w:rsid w:val="001B280C"/>
    <w:rsid w:val="001B3095"/>
    <w:rsid w:val="001B32AF"/>
    <w:rsid w:val="001B3504"/>
    <w:rsid w:val="001B42F0"/>
    <w:rsid w:val="001B4C24"/>
    <w:rsid w:val="001B65A5"/>
    <w:rsid w:val="001C3D98"/>
    <w:rsid w:val="001C4C03"/>
    <w:rsid w:val="001D0324"/>
    <w:rsid w:val="001D0B7B"/>
    <w:rsid w:val="001D10C0"/>
    <w:rsid w:val="001D20F1"/>
    <w:rsid w:val="001D2471"/>
    <w:rsid w:val="001D459D"/>
    <w:rsid w:val="001D4AD6"/>
    <w:rsid w:val="001D75C0"/>
    <w:rsid w:val="001E0367"/>
    <w:rsid w:val="001E251D"/>
    <w:rsid w:val="001E3139"/>
    <w:rsid w:val="001E4809"/>
    <w:rsid w:val="001E5E74"/>
    <w:rsid w:val="001E63A8"/>
    <w:rsid w:val="001F01B9"/>
    <w:rsid w:val="001F42F7"/>
    <w:rsid w:val="001F54FA"/>
    <w:rsid w:val="001F5E4E"/>
    <w:rsid w:val="001F696C"/>
    <w:rsid w:val="00200B92"/>
    <w:rsid w:val="00200BF1"/>
    <w:rsid w:val="00203AB6"/>
    <w:rsid w:val="00210E5B"/>
    <w:rsid w:val="00210EF3"/>
    <w:rsid w:val="00211384"/>
    <w:rsid w:val="00211800"/>
    <w:rsid w:val="00211B7B"/>
    <w:rsid w:val="00213057"/>
    <w:rsid w:val="0021311C"/>
    <w:rsid w:val="00214C71"/>
    <w:rsid w:val="00214F83"/>
    <w:rsid w:val="0021617A"/>
    <w:rsid w:val="00216545"/>
    <w:rsid w:val="00221F3B"/>
    <w:rsid w:val="00221F83"/>
    <w:rsid w:val="00222A60"/>
    <w:rsid w:val="002241E9"/>
    <w:rsid w:val="00224E8B"/>
    <w:rsid w:val="00230CFA"/>
    <w:rsid w:val="002317B4"/>
    <w:rsid w:val="00231FE4"/>
    <w:rsid w:val="00232D49"/>
    <w:rsid w:val="00233610"/>
    <w:rsid w:val="00235493"/>
    <w:rsid w:val="00236632"/>
    <w:rsid w:val="00240BDF"/>
    <w:rsid w:val="00244F6F"/>
    <w:rsid w:val="002455C1"/>
    <w:rsid w:val="00245750"/>
    <w:rsid w:val="00245B0A"/>
    <w:rsid w:val="00250B84"/>
    <w:rsid w:val="00253D8D"/>
    <w:rsid w:val="00254203"/>
    <w:rsid w:val="00255121"/>
    <w:rsid w:val="0025557E"/>
    <w:rsid w:val="002555BF"/>
    <w:rsid w:val="00256EB6"/>
    <w:rsid w:val="002629C9"/>
    <w:rsid w:val="00262AC3"/>
    <w:rsid w:val="00264536"/>
    <w:rsid w:val="002655DA"/>
    <w:rsid w:val="00265EB5"/>
    <w:rsid w:val="00267325"/>
    <w:rsid w:val="002703E7"/>
    <w:rsid w:val="0027068D"/>
    <w:rsid w:val="002707A5"/>
    <w:rsid w:val="0027295A"/>
    <w:rsid w:val="00273726"/>
    <w:rsid w:val="00275186"/>
    <w:rsid w:val="0027549F"/>
    <w:rsid w:val="00276197"/>
    <w:rsid w:val="002778A9"/>
    <w:rsid w:val="0028139C"/>
    <w:rsid w:val="0028281B"/>
    <w:rsid w:val="00282BEA"/>
    <w:rsid w:val="00283118"/>
    <w:rsid w:val="00283973"/>
    <w:rsid w:val="00283A28"/>
    <w:rsid w:val="00284B6B"/>
    <w:rsid w:val="0028550E"/>
    <w:rsid w:val="00285E78"/>
    <w:rsid w:val="0028730F"/>
    <w:rsid w:val="002877B6"/>
    <w:rsid w:val="00287FCD"/>
    <w:rsid w:val="0029073E"/>
    <w:rsid w:val="00290B05"/>
    <w:rsid w:val="00290C30"/>
    <w:rsid w:val="00293361"/>
    <w:rsid w:val="0029339C"/>
    <w:rsid w:val="002933EF"/>
    <w:rsid w:val="0029460C"/>
    <w:rsid w:val="002948C0"/>
    <w:rsid w:val="00296D04"/>
    <w:rsid w:val="002A1DBC"/>
    <w:rsid w:val="002A58F9"/>
    <w:rsid w:val="002A5D7A"/>
    <w:rsid w:val="002A6B27"/>
    <w:rsid w:val="002B0F24"/>
    <w:rsid w:val="002B1511"/>
    <w:rsid w:val="002B2171"/>
    <w:rsid w:val="002B374B"/>
    <w:rsid w:val="002B3EE0"/>
    <w:rsid w:val="002B449D"/>
    <w:rsid w:val="002B7BAC"/>
    <w:rsid w:val="002C065C"/>
    <w:rsid w:val="002C1408"/>
    <w:rsid w:val="002C1F82"/>
    <w:rsid w:val="002C2890"/>
    <w:rsid w:val="002C2BB5"/>
    <w:rsid w:val="002C2EF3"/>
    <w:rsid w:val="002C354E"/>
    <w:rsid w:val="002C6980"/>
    <w:rsid w:val="002D16DD"/>
    <w:rsid w:val="002D1735"/>
    <w:rsid w:val="002D481C"/>
    <w:rsid w:val="002D529A"/>
    <w:rsid w:val="002D657D"/>
    <w:rsid w:val="002D6878"/>
    <w:rsid w:val="002D772F"/>
    <w:rsid w:val="002D7A07"/>
    <w:rsid w:val="002E1800"/>
    <w:rsid w:val="002E41CD"/>
    <w:rsid w:val="002E56A7"/>
    <w:rsid w:val="002E750E"/>
    <w:rsid w:val="002F01FA"/>
    <w:rsid w:val="002F1FBF"/>
    <w:rsid w:val="002F28C9"/>
    <w:rsid w:val="002F2CC0"/>
    <w:rsid w:val="002F4802"/>
    <w:rsid w:val="002F5B86"/>
    <w:rsid w:val="002F5F64"/>
    <w:rsid w:val="00300A73"/>
    <w:rsid w:val="00301D1A"/>
    <w:rsid w:val="00303009"/>
    <w:rsid w:val="00304887"/>
    <w:rsid w:val="003059AA"/>
    <w:rsid w:val="00305D13"/>
    <w:rsid w:val="00306359"/>
    <w:rsid w:val="003067BE"/>
    <w:rsid w:val="00310626"/>
    <w:rsid w:val="00310693"/>
    <w:rsid w:val="003137A8"/>
    <w:rsid w:val="00313884"/>
    <w:rsid w:val="0031391A"/>
    <w:rsid w:val="00314296"/>
    <w:rsid w:val="003143FF"/>
    <w:rsid w:val="00316992"/>
    <w:rsid w:val="00317254"/>
    <w:rsid w:val="003174EE"/>
    <w:rsid w:val="00317DB0"/>
    <w:rsid w:val="00324F58"/>
    <w:rsid w:val="003259EF"/>
    <w:rsid w:val="003276DE"/>
    <w:rsid w:val="00333D24"/>
    <w:rsid w:val="00333DCB"/>
    <w:rsid w:val="00334A28"/>
    <w:rsid w:val="003360DF"/>
    <w:rsid w:val="00336328"/>
    <w:rsid w:val="0033678E"/>
    <w:rsid w:val="00336D6C"/>
    <w:rsid w:val="00337998"/>
    <w:rsid w:val="003406AD"/>
    <w:rsid w:val="00340BC1"/>
    <w:rsid w:val="003415A9"/>
    <w:rsid w:val="00341FC7"/>
    <w:rsid w:val="00342BCE"/>
    <w:rsid w:val="0034409A"/>
    <w:rsid w:val="003468B8"/>
    <w:rsid w:val="003523DC"/>
    <w:rsid w:val="003525B3"/>
    <w:rsid w:val="00352893"/>
    <w:rsid w:val="0035464A"/>
    <w:rsid w:val="0035474C"/>
    <w:rsid w:val="00354D41"/>
    <w:rsid w:val="00355AE7"/>
    <w:rsid w:val="00355F69"/>
    <w:rsid w:val="00357420"/>
    <w:rsid w:val="00360FD6"/>
    <w:rsid w:val="00363A14"/>
    <w:rsid w:val="00363FC0"/>
    <w:rsid w:val="00366F36"/>
    <w:rsid w:val="00371816"/>
    <w:rsid w:val="00375080"/>
    <w:rsid w:val="0037517E"/>
    <w:rsid w:val="00377805"/>
    <w:rsid w:val="00377E60"/>
    <w:rsid w:val="00381CC2"/>
    <w:rsid w:val="003826E1"/>
    <w:rsid w:val="00383D8B"/>
    <w:rsid w:val="003842C4"/>
    <w:rsid w:val="00385523"/>
    <w:rsid w:val="003857EA"/>
    <w:rsid w:val="003861F2"/>
    <w:rsid w:val="003863D5"/>
    <w:rsid w:val="00386EA1"/>
    <w:rsid w:val="00387069"/>
    <w:rsid w:val="00387770"/>
    <w:rsid w:val="00387F53"/>
    <w:rsid w:val="00390A52"/>
    <w:rsid w:val="00393B05"/>
    <w:rsid w:val="0039520F"/>
    <w:rsid w:val="003952BC"/>
    <w:rsid w:val="00396BEF"/>
    <w:rsid w:val="003A3C38"/>
    <w:rsid w:val="003A4567"/>
    <w:rsid w:val="003A50B7"/>
    <w:rsid w:val="003A5E7A"/>
    <w:rsid w:val="003A7139"/>
    <w:rsid w:val="003A7949"/>
    <w:rsid w:val="003B0972"/>
    <w:rsid w:val="003B12E5"/>
    <w:rsid w:val="003B16FD"/>
    <w:rsid w:val="003B1DEC"/>
    <w:rsid w:val="003B200E"/>
    <w:rsid w:val="003B7344"/>
    <w:rsid w:val="003C0456"/>
    <w:rsid w:val="003C0D96"/>
    <w:rsid w:val="003C0F41"/>
    <w:rsid w:val="003C1366"/>
    <w:rsid w:val="003C29FF"/>
    <w:rsid w:val="003C30AE"/>
    <w:rsid w:val="003C3E7E"/>
    <w:rsid w:val="003C55A5"/>
    <w:rsid w:val="003C5DF0"/>
    <w:rsid w:val="003C62CA"/>
    <w:rsid w:val="003C748B"/>
    <w:rsid w:val="003D1202"/>
    <w:rsid w:val="003D2400"/>
    <w:rsid w:val="003D2487"/>
    <w:rsid w:val="003D2852"/>
    <w:rsid w:val="003D520A"/>
    <w:rsid w:val="003D5D7F"/>
    <w:rsid w:val="003D717E"/>
    <w:rsid w:val="003E1061"/>
    <w:rsid w:val="003E1876"/>
    <w:rsid w:val="003E469E"/>
    <w:rsid w:val="003E70CE"/>
    <w:rsid w:val="003E74FB"/>
    <w:rsid w:val="003F1229"/>
    <w:rsid w:val="003F2A79"/>
    <w:rsid w:val="003F54BC"/>
    <w:rsid w:val="003F5E29"/>
    <w:rsid w:val="003F6A24"/>
    <w:rsid w:val="003F6B0C"/>
    <w:rsid w:val="003F703C"/>
    <w:rsid w:val="00402EE3"/>
    <w:rsid w:val="00403CC0"/>
    <w:rsid w:val="00404609"/>
    <w:rsid w:val="00404C41"/>
    <w:rsid w:val="0040501F"/>
    <w:rsid w:val="00405B5E"/>
    <w:rsid w:val="00407E3D"/>
    <w:rsid w:val="00413C47"/>
    <w:rsid w:val="00415578"/>
    <w:rsid w:val="00415D9A"/>
    <w:rsid w:val="004161FF"/>
    <w:rsid w:val="004179CF"/>
    <w:rsid w:val="0042035B"/>
    <w:rsid w:val="00420518"/>
    <w:rsid w:val="004218D9"/>
    <w:rsid w:val="00425AAD"/>
    <w:rsid w:val="00426A35"/>
    <w:rsid w:val="00427691"/>
    <w:rsid w:val="00430B61"/>
    <w:rsid w:val="00435415"/>
    <w:rsid w:val="00441091"/>
    <w:rsid w:val="00444D2D"/>
    <w:rsid w:val="00445335"/>
    <w:rsid w:val="00445437"/>
    <w:rsid w:val="0045113B"/>
    <w:rsid w:val="004524EA"/>
    <w:rsid w:val="0045251C"/>
    <w:rsid w:val="00454965"/>
    <w:rsid w:val="00457B00"/>
    <w:rsid w:val="004604AB"/>
    <w:rsid w:val="004618F3"/>
    <w:rsid w:val="00463599"/>
    <w:rsid w:val="0046424C"/>
    <w:rsid w:val="004648B9"/>
    <w:rsid w:val="00464BE2"/>
    <w:rsid w:val="00467653"/>
    <w:rsid w:val="0047047B"/>
    <w:rsid w:val="004717E2"/>
    <w:rsid w:val="00471CCA"/>
    <w:rsid w:val="004754A7"/>
    <w:rsid w:val="00475A9B"/>
    <w:rsid w:val="00475E11"/>
    <w:rsid w:val="00475EE6"/>
    <w:rsid w:val="0048151F"/>
    <w:rsid w:val="004837CF"/>
    <w:rsid w:val="00484EE7"/>
    <w:rsid w:val="0048526A"/>
    <w:rsid w:val="004858F5"/>
    <w:rsid w:val="004906DF"/>
    <w:rsid w:val="00493BF5"/>
    <w:rsid w:val="004952A7"/>
    <w:rsid w:val="004959A5"/>
    <w:rsid w:val="00495DC1"/>
    <w:rsid w:val="00496E72"/>
    <w:rsid w:val="0049752B"/>
    <w:rsid w:val="004A050C"/>
    <w:rsid w:val="004A08FD"/>
    <w:rsid w:val="004A3B06"/>
    <w:rsid w:val="004A3B23"/>
    <w:rsid w:val="004A5503"/>
    <w:rsid w:val="004A58E9"/>
    <w:rsid w:val="004A5CFC"/>
    <w:rsid w:val="004A62BC"/>
    <w:rsid w:val="004A6680"/>
    <w:rsid w:val="004A6D34"/>
    <w:rsid w:val="004A743E"/>
    <w:rsid w:val="004A74E4"/>
    <w:rsid w:val="004A773B"/>
    <w:rsid w:val="004B205B"/>
    <w:rsid w:val="004B2323"/>
    <w:rsid w:val="004B3891"/>
    <w:rsid w:val="004B503C"/>
    <w:rsid w:val="004B5710"/>
    <w:rsid w:val="004B69F8"/>
    <w:rsid w:val="004B6F2E"/>
    <w:rsid w:val="004B74EE"/>
    <w:rsid w:val="004C2967"/>
    <w:rsid w:val="004C3B3C"/>
    <w:rsid w:val="004C5697"/>
    <w:rsid w:val="004C7472"/>
    <w:rsid w:val="004D12A7"/>
    <w:rsid w:val="004D1E3E"/>
    <w:rsid w:val="004D215A"/>
    <w:rsid w:val="004D270A"/>
    <w:rsid w:val="004D5657"/>
    <w:rsid w:val="004D5BE8"/>
    <w:rsid w:val="004E18AC"/>
    <w:rsid w:val="004F1E11"/>
    <w:rsid w:val="004F2E96"/>
    <w:rsid w:val="004F378A"/>
    <w:rsid w:val="004F52E1"/>
    <w:rsid w:val="00500762"/>
    <w:rsid w:val="00501973"/>
    <w:rsid w:val="005021AC"/>
    <w:rsid w:val="00505169"/>
    <w:rsid w:val="0050683C"/>
    <w:rsid w:val="005100D4"/>
    <w:rsid w:val="0051021E"/>
    <w:rsid w:val="005129CA"/>
    <w:rsid w:val="0051377F"/>
    <w:rsid w:val="005166FD"/>
    <w:rsid w:val="005167BA"/>
    <w:rsid w:val="0051703B"/>
    <w:rsid w:val="0052041C"/>
    <w:rsid w:val="00520F78"/>
    <w:rsid w:val="00521D51"/>
    <w:rsid w:val="00522126"/>
    <w:rsid w:val="00522EA0"/>
    <w:rsid w:val="00523387"/>
    <w:rsid w:val="0052515D"/>
    <w:rsid w:val="005252FC"/>
    <w:rsid w:val="0052557B"/>
    <w:rsid w:val="00531773"/>
    <w:rsid w:val="00532628"/>
    <w:rsid w:val="005342AC"/>
    <w:rsid w:val="00535D95"/>
    <w:rsid w:val="00536A68"/>
    <w:rsid w:val="0053744B"/>
    <w:rsid w:val="005403C6"/>
    <w:rsid w:val="00541157"/>
    <w:rsid w:val="005416F1"/>
    <w:rsid w:val="00542B25"/>
    <w:rsid w:val="00543019"/>
    <w:rsid w:val="005444EA"/>
    <w:rsid w:val="00544ADC"/>
    <w:rsid w:val="00546226"/>
    <w:rsid w:val="00546BBB"/>
    <w:rsid w:val="005546BE"/>
    <w:rsid w:val="00554ECA"/>
    <w:rsid w:val="00554F16"/>
    <w:rsid w:val="00561397"/>
    <w:rsid w:val="005613BE"/>
    <w:rsid w:val="005654A4"/>
    <w:rsid w:val="0056626B"/>
    <w:rsid w:val="00566D43"/>
    <w:rsid w:val="00567860"/>
    <w:rsid w:val="00570D62"/>
    <w:rsid w:val="00571D86"/>
    <w:rsid w:val="00572B6D"/>
    <w:rsid w:val="00572F05"/>
    <w:rsid w:val="0057478B"/>
    <w:rsid w:val="00574956"/>
    <w:rsid w:val="00574BF2"/>
    <w:rsid w:val="0057567D"/>
    <w:rsid w:val="00576636"/>
    <w:rsid w:val="005804BC"/>
    <w:rsid w:val="00582F03"/>
    <w:rsid w:val="00584261"/>
    <w:rsid w:val="00584983"/>
    <w:rsid w:val="00584F4F"/>
    <w:rsid w:val="00584F75"/>
    <w:rsid w:val="0058607E"/>
    <w:rsid w:val="00587994"/>
    <w:rsid w:val="00590BDE"/>
    <w:rsid w:val="00591CB8"/>
    <w:rsid w:val="00592B18"/>
    <w:rsid w:val="005A177D"/>
    <w:rsid w:val="005A2B01"/>
    <w:rsid w:val="005A2DBB"/>
    <w:rsid w:val="005A431D"/>
    <w:rsid w:val="005A4664"/>
    <w:rsid w:val="005A6FEC"/>
    <w:rsid w:val="005A7D66"/>
    <w:rsid w:val="005B081E"/>
    <w:rsid w:val="005B1C3F"/>
    <w:rsid w:val="005B36EF"/>
    <w:rsid w:val="005B6575"/>
    <w:rsid w:val="005C219A"/>
    <w:rsid w:val="005C3F49"/>
    <w:rsid w:val="005D084A"/>
    <w:rsid w:val="005D0ABE"/>
    <w:rsid w:val="005D3F79"/>
    <w:rsid w:val="005D7D19"/>
    <w:rsid w:val="005E54CD"/>
    <w:rsid w:val="005E55B5"/>
    <w:rsid w:val="005E59D8"/>
    <w:rsid w:val="005F09AA"/>
    <w:rsid w:val="005F0CEF"/>
    <w:rsid w:val="005F42B3"/>
    <w:rsid w:val="005F4837"/>
    <w:rsid w:val="005F589E"/>
    <w:rsid w:val="006006BD"/>
    <w:rsid w:val="006018DC"/>
    <w:rsid w:val="00604663"/>
    <w:rsid w:val="006066D7"/>
    <w:rsid w:val="00607BE7"/>
    <w:rsid w:val="00611802"/>
    <w:rsid w:val="006122C8"/>
    <w:rsid w:val="0061340A"/>
    <w:rsid w:val="006135BC"/>
    <w:rsid w:val="00614027"/>
    <w:rsid w:val="006144DA"/>
    <w:rsid w:val="00614E3E"/>
    <w:rsid w:val="00615000"/>
    <w:rsid w:val="006157B7"/>
    <w:rsid w:val="0061695C"/>
    <w:rsid w:val="00617556"/>
    <w:rsid w:val="00617ACC"/>
    <w:rsid w:val="006206E0"/>
    <w:rsid w:val="00622749"/>
    <w:rsid w:val="006227CF"/>
    <w:rsid w:val="0062354B"/>
    <w:rsid w:val="00623C4B"/>
    <w:rsid w:val="0062407D"/>
    <w:rsid w:val="00625664"/>
    <w:rsid w:val="006267E2"/>
    <w:rsid w:val="00627D2C"/>
    <w:rsid w:val="006307DB"/>
    <w:rsid w:val="006310C7"/>
    <w:rsid w:val="006323A5"/>
    <w:rsid w:val="00632621"/>
    <w:rsid w:val="00633246"/>
    <w:rsid w:val="006342A4"/>
    <w:rsid w:val="00636422"/>
    <w:rsid w:val="00636BCD"/>
    <w:rsid w:val="00637744"/>
    <w:rsid w:val="00637D01"/>
    <w:rsid w:val="00640A17"/>
    <w:rsid w:val="0064106F"/>
    <w:rsid w:val="00642196"/>
    <w:rsid w:val="00643C11"/>
    <w:rsid w:val="006444E1"/>
    <w:rsid w:val="00645BDF"/>
    <w:rsid w:val="00646459"/>
    <w:rsid w:val="0064667D"/>
    <w:rsid w:val="00650400"/>
    <w:rsid w:val="00650DF4"/>
    <w:rsid w:val="006515DF"/>
    <w:rsid w:val="00651E97"/>
    <w:rsid w:val="006522CC"/>
    <w:rsid w:val="00652888"/>
    <w:rsid w:val="006533D5"/>
    <w:rsid w:val="00654648"/>
    <w:rsid w:val="006549F4"/>
    <w:rsid w:val="00654F5F"/>
    <w:rsid w:val="006562FC"/>
    <w:rsid w:val="00656DD4"/>
    <w:rsid w:val="00657D87"/>
    <w:rsid w:val="00661CA6"/>
    <w:rsid w:val="00662F87"/>
    <w:rsid w:val="00663F1E"/>
    <w:rsid w:val="00665F5E"/>
    <w:rsid w:val="00667DE4"/>
    <w:rsid w:val="006731F2"/>
    <w:rsid w:val="00673988"/>
    <w:rsid w:val="00673B21"/>
    <w:rsid w:val="00673BF4"/>
    <w:rsid w:val="00674456"/>
    <w:rsid w:val="00674960"/>
    <w:rsid w:val="00674D2B"/>
    <w:rsid w:val="00676245"/>
    <w:rsid w:val="006778C3"/>
    <w:rsid w:val="00681E08"/>
    <w:rsid w:val="00682707"/>
    <w:rsid w:val="00683A41"/>
    <w:rsid w:val="00683E58"/>
    <w:rsid w:val="00686857"/>
    <w:rsid w:val="00687CCD"/>
    <w:rsid w:val="0069019A"/>
    <w:rsid w:val="006904F2"/>
    <w:rsid w:val="00690586"/>
    <w:rsid w:val="00691D02"/>
    <w:rsid w:val="00692306"/>
    <w:rsid w:val="006924C6"/>
    <w:rsid w:val="00692652"/>
    <w:rsid w:val="006A17BD"/>
    <w:rsid w:val="006A1BBF"/>
    <w:rsid w:val="006A4E67"/>
    <w:rsid w:val="006A5950"/>
    <w:rsid w:val="006A712A"/>
    <w:rsid w:val="006B095B"/>
    <w:rsid w:val="006B1835"/>
    <w:rsid w:val="006B21F6"/>
    <w:rsid w:val="006B22CF"/>
    <w:rsid w:val="006B2749"/>
    <w:rsid w:val="006B3521"/>
    <w:rsid w:val="006B3982"/>
    <w:rsid w:val="006B5F8A"/>
    <w:rsid w:val="006B616B"/>
    <w:rsid w:val="006B6ABD"/>
    <w:rsid w:val="006C285A"/>
    <w:rsid w:val="006C5645"/>
    <w:rsid w:val="006C5DEB"/>
    <w:rsid w:val="006D07BB"/>
    <w:rsid w:val="006D3350"/>
    <w:rsid w:val="006D3E9B"/>
    <w:rsid w:val="006D46E6"/>
    <w:rsid w:val="006E116D"/>
    <w:rsid w:val="006E3451"/>
    <w:rsid w:val="006E5653"/>
    <w:rsid w:val="006E70BC"/>
    <w:rsid w:val="006E7158"/>
    <w:rsid w:val="006F34C1"/>
    <w:rsid w:val="006F40B5"/>
    <w:rsid w:val="006F47CB"/>
    <w:rsid w:val="007001DB"/>
    <w:rsid w:val="007017CA"/>
    <w:rsid w:val="007019E2"/>
    <w:rsid w:val="00704779"/>
    <w:rsid w:val="00704D95"/>
    <w:rsid w:val="00712475"/>
    <w:rsid w:val="0071284C"/>
    <w:rsid w:val="00713A5D"/>
    <w:rsid w:val="00713C85"/>
    <w:rsid w:val="0071412A"/>
    <w:rsid w:val="00715D0B"/>
    <w:rsid w:val="00715FC0"/>
    <w:rsid w:val="00716B02"/>
    <w:rsid w:val="00721944"/>
    <w:rsid w:val="00722597"/>
    <w:rsid w:val="00722CF6"/>
    <w:rsid w:val="00722D63"/>
    <w:rsid w:val="00725458"/>
    <w:rsid w:val="0072568C"/>
    <w:rsid w:val="00731E60"/>
    <w:rsid w:val="00734B78"/>
    <w:rsid w:val="00735182"/>
    <w:rsid w:val="007354AA"/>
    <w:rsid w:val="007354FB"/>
    <w:rsid w:val="0073559C"/>
    <w:rsid w:val="00735A4E"/>
    <w:rsid w:val="007370E9"/>
    <w:rsid w:val="00740AEE"/>
    <w:rsid w:val="00741D11"/>
    <w:rsid w:val="00741E75"/>
    <w:rsid w:val="00742253"/>
    <w:rsid w:val="00742C5E"/>
    <w:rsid w:val="007457DB"/>
    <w:rsid w:val="00745B5D"/>
    <w:rsid w:val="00747239"/>
    <w:rsid w:val="007475DC"/>
    <w:rsid w:val="00747918"/>
    <w:rsid w:val="00750258"/>
    <w:rsid w:val="00752490"/>
    <w:rsid w:val="0075266E"/>
    <w:rsid w:val="007556A1"/>
    <w:rsid w:val="00756CB6"/>
    <w:rsid w:val="00756CFB"/>
    <w:rsid w:val="00761530"/>
    <w:rsid w:val="0076299C"/>
    <w:rsid w:val="00762AB1"/>
    <w:rsid w:val="0076309F"/>
    <w:rsid w:val="00763148"/>
    <w:rsid w:val="0076363A"/>
    <w:rsid w:val="007666A6"/>
    <w:rsid w:val="00766BC9"/>
    <w:rsid w:val="007678F3"/>
    <w:rsid w:val="00767A52"/>
    <w:rsid w:val="007704BC"/>
    <w:rsid w:val="007719AA"/>
    <w:rsid w:val="00772C37"/>
    <w:rsid w:val="00773C90"/>
    <w:rsid w:val="0077510C"/>
    <w:rsid w:val="0077609B"/>
    <w:rsid w:val="00777657"/>
    <w:rsid w:val="00777FAC"/>
    <w:rsid w:val="007801D5"/>
    <w:rsid w:val="00780A86"/>
    <w:rsid w:val="00781C1C"/>
    <w:rsid w:val="00782CB9"/>
    <w:rsid w:val="007832BF"/>
    <w:rsid w:val="00783360"/>
    <w:rsid w:val="007834B5"/>
    <w:rsid w:val="00784EE6"/>
    <w:rsid w:val="007850AE"/>
    <w:rsid w:val="0078533F"/>
    <w:rsid w:val="007857F8"/>
    <w:rsid w:val="0078673C"/>
    <w:rsid w:val="00790460"/>
    <w:rsid w:val="007906C7"/>
    <w:rsid w:val="00790E95"/>
    <w:rsid w:val="007924C6"/>
    <w:rsid w:val="0079256B"/>
    <w:rsid w:val="007933AC"/>
    <w:rsid w:val="00793731"/>
    <w:rsid w:val="00795B00"/>
    <w:rsid w:val="00795EB9"/>
    <w:rsid w:val="0079693D"/>
    <w:rsid w:val="00797EA6"/>
    <w:rsid w:val="007A0845"/>
    <w:rsid w:val="007A0A1C"/>
    <w:rsid w:val="007A1D93"/>
    <w:rsid w:val="007A24FC"/>
    <w:rsid w:val="007A4DAB"/>
    <w:rsid w:val="007A61B4"/>
    <w:rsid w:val="007B0749"/>
    <w:rsid w:val="007B1764"/>
    <w:rsid w:val="007B3846"/>
    <w:rsid w:val="007B38C3"/>
    <w:rsid w:val="007B428D"/>
    <w:rsid w:val="007B4D99"/>
    <w:rsid w:val="007C020D"/>
    <w:rsid w:val="007C0E6A"/>
    <w:rsid w:val="007C0FE9"/>
    <w:rsid w:val="007C5041"/>
    <w:rsid w:val="007C6304"/>
    <w:rsid w:val="007D0BAB"/>
    <w:rsid w:val="007D265A"/>
    <w:rsid w:val="007D304B"/>
    <w:rsid w:val="007D4071"/>
    <w:rsid w:val="007D4FFD"/>
    <w:rsid w:val="007D5945"/>
    <w:rsid w:val="007D59DE"/>
    <w:rsid w:val="007D6E25"/>
    <w:rsid w:val="007E03CB"/>
    <w:rsid w:val="007E28AB"/>
    <w:rsid w:val="007E2984"/>
    <w:rsid w:val="007E4731"/>
    <w:rsid w:val="007E49D4"/>
    <w:rsid w:val="007E69D0"/>
    <w:rsid w:val="007E6E06"/>
    <w:rsid w:val="007F008C"/>
    <w:rsid w:val="007F10FD"/>
    <w:rsid w:val="007F14B7"/>
    <w:rsid w:val="007F48F2"/>
    <w:rsid w:val="007F59F0"/>
    <w:rsid w:val="007F6646"/>
    <w:rsid w:val="00802CF0"/>
    <w:rsid w:val="008036F9"/>
    <w:rsid w:val="00805E09"/>
    <w:rsid w:val="00810056"/>
    <w:rsid w:val="00810851"/>
    <w:rsid w:val="00815BEB"/>
    <w:rsid w:val="008224BB"/>
    <w:rsid w:val="00823072"/>
    <w:rsid w:val="0082456A"/>
    <w:rsid w:val="008259A4"/>
    <w:rsid w:val="00827139"/>
    <w:rsid w:val="00827910"/>
    <w:rsid w:val="00834B7F"/>
    <w:rsid w:val="00835ACD"/>
    <w:rsid w:val="0084196A"/>
    <w:rsid w:val="008429E3"/>
    <w:rsid w:val="00842F67"/>
    <w:rsid w:val="008439A0"/>
    <w:rsid w:val="0085115F"/>
    <w:rsid w:val="00853250"/>
    <w:rsid w:val="008537CA"/>
    <w:rsid w:val="00854D3D"/>
    <w:rsid w:val="0085578D"/>
    <w:rsid w:val="00855AB5"/>
    <w:rsid w:val="008566FE"/>
    <w:rsid w:val="00856FC4"/>
    <w:rsid w:val="00857620"/>
    <w:rsid w:val="00857F9D"/>
    <w:rsid w:val="00860BE7"/>
    <w:rsid w:val="00860FD8"/>
    <w:rsid w:val="0086135B"/>
    <w:rsid w:val="00863081"/>
    <w:rsid w:val="00865B1D"/>
    <w:rsid w:val="00871741"/>
    <w:rsid w:val="00873008"/>
    <w:rsid w:val="00874357"/>
    <w:rsid w:val="008762C3"/>
    <w:rsid w:val="00876EC0"/>
    <w:rsid w:val="0088058A"/>
    <w:rsid w:val="008835F7"/>
    <w:rsid w:val="00883CCF"/>
    <w:rsid w:val="00886FDA"/>
    <w:rsid w:val="00887289"/>
    <w:rsid w:val="00890364"/>
    <w:rsid w:val="00893E5F"/>
    <w:rsid w:val="00894159"/>
    <w:rsid w:val="008948F0"/>
    <w:rsid w:val="008954FF"/>
    <w:rsid w:val="00896830"/>
    <w:rsid w:val="008A2728"/>
    <w:rsid w:val="008A4562"/>
    <w:rsid w:val="008A47A9"/>
    <w:rsid w:val="008A75CC"/>
    <w:rsid w:val="008B163F"/>
    <w:rsid w:val="008B1CA8"/>
    <w:rsid w:val="008C0EBF"/>
    <w:rsid w:val="008C1F81"/>
    <w:rsid w:val="008D1A7C"/>
    <w:rsid w:val="008D269C"/>
    <w:rsid w:val="008D48D5"/>
    <w:rsid w:val="008E2CD2"/>
    <w:rsid w:val="008E2F0D"/>
    <w:rsid w:val="008E38B3"/>
    <w:rsid w:val="008E5087"/>
    <w:rsid w:val="008E5A6C"/>
    <w:rsid w:val="008E618D"/>
    <w:rsid w:val="008E62DA"/>
    <w:rsid w:val="008E6AFC"/>
    <w:rsid w:val="008F27C6"/>
    <w:rsid w:val="008F32EF"/>
    <w:rsid w:val="008F7008"/>
    <w:rsid w:val="009023F0"/>
    <w:rsid w:val="009047C4"/>
    <w:rsid w:val="009056F3"/>
    <w:rsid w:val="00905EFB"/>
    <w:rsid w:val="00906311"/>
    <w:rsid w:val="00907431"/>
    <w:rsid w:val="00907F38"/>
    <w:rsid w:val="009102BB"/>
    <w:rsid w:val="00910714"/>
    <w:rsid w:val="009132AD"/>
    <w:rsid w:val="009147A8"/>
    <w:rsid w:val="00914B27"/>
    <w:rsid w:val="00914B2C"/>
    <w:rsid w:val="009206AA"/>
    <w:rsid w:val="009248EB"/>
    <w:rsid w:val="00931731"/>
    <w:rsid w:val="00933E5D"/>
    <w:rsid w:val="009343BC"/>
    <w:rsid w:val="00934B0B"/>
    <w:rsid w:val="00934E22"/>
    <w:rsid w:val="00936CF3"/>
    <w:rsid w:val="00936D31"/>
    <w:rsid w:val="00937C67"/>
    <w:rsid w:val="00937DD9"/>
    <w:rsid w:val="00937F0D"/>
    <w:rsid w:val="0094019F"/>
    <w:rsid w:val="009408D3"/>
    <w:rsid w:val="00942449"/>
    <w:rsid w:val="00943236"/>
    <w:rsid w:val="009439F1"/>
    <w:rsid w:val="00943BF2"/>
    <w:rsid w:val="00943DCB"/>
    <w:rsid w:val="00944641"/>
    <w:rsid w:val="00945DE4"/>
    <w:rsid w:val="0094614F"/>
    <w:rsid w:val="00946639"/>
    <w:rsid w:val="00947AAE"/>
    <w:rsid w:val="0095074D"/>
    <w:rsid w:val="00950D4A"/>
    <w:rsid w:val="009518C3"/>
    <w:rsid w:val="00951CB6"/>
    <w:rsid w:val="00955030"/>
    <w:rsid w:val="00955F74"/>
    <w:rsid w:val="00957D37"/>
    <w:rsid w:val="00957F92"/>
    <w:rsid w:val="009600C9"/>
    <w:rsid w:val="00962249"/>
    <w:rsid w:val="00966949"/>
    <w:rsid w:val="009675E7"/>
    <w:rsid w:val="009733A1"/>
    <w:rsid w:val="00973D18"/>
    <w:rsid w:val="00975524"/>
    <w:rsid w:val="009759A6"/>
    <w:rsid w:val="00976241"/>
    <w:rsid w:val="0097756C"/>
    <w:rsid w:val="009813BE"/>
    <w:rsid w:val="0098289D"/>
    <w:rsid w:val="00983EF6"/>
    <w:rsid w:val="009878AE"/>
    <w:rsid w:val="00987966"/>
    <w:rsid w:val="00991E18"/>
    <w:rsid w:val="0099226E"/>
    <w:rsid w:val="00992CF0"/>
    <w:rsid w:val="009941F4"/>
    <w:rsid w:val="00996E81"/>
    <w:rsid w:val="009A074D"/>
    <w:rsid w:val="009A1368"/>
    <w:rsid w:val="009A2D67"/>
    <w:rsid w:val="009A31C7"/>
    <w:rsid w:val="009A33D9"/>
    <w:rsid w:val="009A43DF"/>
    <w:rsid w:val="009A6687"/>
    <w:rsid w:val="009A6C97"/>
    <w:rsid w:val="009B0385"/>
    <w:rsid w:val="009B088A"/>
    <w:rsid w:val="009B175A"/>
    <w:rsid w:val="009B299F"/>
    <w:rsid w:val="009B6A3A"/>
    <w:rsid w:val="009C0D98"/>
    <w:rsid w:val="009C4689"/>
    <w:rsid w:val="009C4826"/>
    <w:rsid w:val="009C6021"/>
    <w:rsid w:val="009C7FCC"/>
    <w:rsid w:val="009D0AC2"/>
    <w:rsid w:val="009D4E86"/>
    <w:rsid w:val="009D5AE9"/>
    <w:rsid w:val="009D5D1E"/>
    <w:rsid w:val="009D6CBC"/>
    <w:rsid w:val="009D704E"/>
    <w:rsid w:val="009D766E"/>
    <w:rsid w:val="009E0052"/>
    <w:rsid w:val="009E0779"/>
    <w:rsid w:val="009E22BE"/>
    <w:rsid w:val="009E32BE"/>
    <w:rsid w:val="009E415D"/>
    <w:rsid w:val="009E5BCD"/>
    <w:rsid w:val="009E6542"/>
    <w:rsid w:val="009E6DE0"/>
    <w:rsid w:val="009E7480"/>
    <w:rsid w:val="009F16C2"/>
    <w:rsid w:val="009F1C48"/>
    <w:rsid w:val="009F3F87"/>
    <w:rsid w:val="00A0050E"/>
    <w:rsid w:val="00A011D0"/>
    <w:rsid w:val="00A05858"/>
    <w:rsid w:val="00A074B0"/>
    <w:rsid w:val="00A1248B"/>
    <w:rsid w:val="00A12A82"/>
    <w:rsid w:val="00A13D94"/>
    <w:rsid w:val="00A141C8"/>
    <w:rsid w:val="00A146A2"/>
    <w:rsid w:val="00A15396"/>
    <w:rsid w:val="00A169D3"/>
    <w:rsid w:val="00A17124"/>
    <w:rsid w:val="00A2008F"/>
    <w:rsid w:val="00A23166"/>
    <w:rsid w:val="00A23A67"/>
    <w:rsid w:val="00A24148"/>
    <w:rsid w:val="00A24151"/>
    <w:rsid w:val="00A26438"/>
    <w:rsid w:val="00A300B4"/>
    <w:rsid w:val="00A3339C"/>
    <w:rsid w:val="00A34C5C"/>
    <w:rsid w:val="00A34E12"/>
    <w:rsid w:val="00A36FE2"/>
    <w:rsid w:val="00A37A7F"/>
    <w:rsid w:val="00A409FC"/>
    <w:rsid w:val="00A431CE"/>
    <w:rsid w:val="00A4352F"/>
    <w:rsid w:val="00A439A0"/>
    <w:rsid w:val="00A43EB8"/>
    <w:rsid w:val="00A4520C"/>
    <w:rsid w:val="00A45915"/>
    <w:rsid w:val="00A45966"/>
    <w:rsid w:val="00A527DA"/>
    <w:rsid w:val="00A53740"/>
    <w:rsid w:val="00A54BE7"/>
    <w:rsid w:val="00A54C36"/>
    <w:rsid w:val="00A55682"/>
    <w:rsid w:val="00A57171"/>
    <w:rsid w:val="00A57526"/>
    <w:rsid w:val="00A6069B"/>
    <w:rsid w:val="00A611B6"/>
    <w:rsid w:val="00A62AFF"/>
    <w:rsid w:val="00A643D8"/>
    <w:rsid w:val="00A65AF2"/>
    <w:rsid w:val="00A6643A"/>
    <w:rsid w:val="00A67961"/>
    <w:rsid w:val="00A7255E"/>
    <w:rsid w:val="00A75692"/>
    <w:rsid w:val="00A75E13"/>
    <w:rsid w:val="00A76739"/>
    <w:rsid w:val="00A84FB8"/>
    <w:rsid w:val="00A857FC"/>
    <w:rsid w:val="00A86F3A"/>
    <w:rsid w:val="00A92AD6"/>
    <w:rsid w:val="00A94DEF"/>
    <w:rsid w:val="00A951E4"/>
    <w:rsid w:val="00A954DF"/>
    <w:rsid w:val="00A965AE"/>
    <w:rsid w:val="00AA0CA7"/>
    <w:rsid w:val="00AA3272"/>
    <w:rsid w:val="00AA5DB3"/>
    <w:rsid w:val="00AA61E2"/>
    <w:rsid w:val="00AA6BC7"/>
    <w:rsid w:val="00AA7F75"/>
    <w:rsid w:val="00AB36F7"/>
    <w:rsid w:val="00AB4574"/>
    <w:rsid w:val="00AB46FF"/>
    <w:rsid w:val="00AB6209"/>
    <w:rsid w:val="00AB698B"/>
    <w:rsid w:val="00AC0ABB"/>
    <w:rsid w:val="00AC1B1A"/>
    <w:rsid w:val="00AC1C8E"/>
    <w:rsid w:val="00AC32A5"/>
    <w:rsid w:val="00AC4FAA"/>
    <w:rsid w:val="00AD1053"/>
    <w:rsid w:val="00AD1425"/>
    <w:rsid w:val="00AD158A"/>
    <w:rsid w:val="00AD19B4"/>
    <w:rsid w:val="00AD210C"/>
    <w:rsid w:val="00AD2639"/>
    <w:rsid w:val="00AD2B53"/>
    <w:rsid w:val="00AD2DFF"/>
    <w:rsid w:val="00AD32D9"/>
    <w:rsid w:val="00AD35AD"/>
    <w:rsid w:val="00AD4C44"/>
    <w:rsid w:val="00AD4DAA"/>
    <w:rsid w:val="00AD777B"/>
    <w:rsid w:val="00AE15E2"/>
    <w:rsid w:val="00AE3843"/>
    <w:rsid w:val="00AE4FDD"/>
    <w:rsid w:val="00AE5413"/>
    <w:rsid w:val="00AE6546"/>
    <w:rsid w:val="00AF0179"/>
    <w:rsid w:val="00AF0885"/>
    <w:rsid w:val="00AF1479"/>
    <w:rsid w:val="00AF1712"/>
    <w:rsid w:val="00AF1D7B"/>
    <w:rsid w:val="00AF1F29"/>
    <w:rsid w:val="00AF79F8"/>
    <w:rsid w:val="00AF7C08"/>
    <w:rsid w:val="00B00C26"/>
    <w:rsid w:val="00B01738"/>
    <w:rsid w:val="00B02788"/>
    <w:rsid w:val="00B03B22"/>
    <w:rsid w:val="00B05BD9"/>
    <w:rsid w:val="00B05C9C"/>
    <w:rsid w:val="00B07E67"/>
    <w:rsid w:val="00B10A9F"/>
    <w:rsid w:val="00B11491"/>
    <w:rsid w:val="00B12EF9"/>
    <w:rsid w:val="00B13B29"/>
    <w:rsid w:val="00B14C33"/>
    <w:rsid w:val="00B161F1"/>
    <w:rsid w:val="00B16221"/>
    <w:rsid w:val="00B16430"/>
    <w:rsid w:val="00B16854"/>
    <w:rsid w:val="00B221F1"/>
    <w:rsid w:val="00B22351"/>
    <w:rsid w:val="00B2408A"/>
    <w:rsid w:val="00B24DA0"/>
    <w:rsid w:val="00B24FBB"/>
    <w:rsid w:val="00B33ED0"/>
    <w:rsid w:val="00B344F3"/>
    <w:rsid w:val="00B34896"/>
    <w:rsid w:val="00B35C39"/>
    <w:rsid w:val="00B374DD"/>
    <w:rsid w:val="00B37B48"/>
    <w:rsid w:val="00B4037F"/>
    <w:rsid w:val="00B40797"/>
    <w:rsid w:val="00B43B4E"/>
    <w:rsid w:val="00B4422C"/>
    <w:rsid w:val="00B450A0"/>
    <w:rsid w:val="00B47719"/>
    <w:rsid w:val="00B5011F"/>
    <w:rsid w:val="00B51E1E"/>
    <w:rsid w:val="00B537F6"/>
    <w:rsid w:val="00B5454C"/>
    <w:rsid w:val="00B55847"/>
    <w:rsid w:val="00B559CB"/>
    <w:rsid w:val="00B567B5"/>
    <w:rsid w:val="00B57C4B"/>
    <w:rsid w:val="00B57F02"/>
    <w:rsid w:val="00B63F10"/>
    <w:rsid w:val="00B646DA"/>
    <w:rsid w:val="00B651AA"/>
    <w:rsid w:val="00B6521C"/>
    <w:rsid w:val="00B65629"/>
    <w:rsid w:val="00B667AF"/>
    <w:rsid w:val="00B669B3"/>
    <w:rsid w:val="00B6796F"/>
    <w:rsid w:val="00B71DF6"/>
    <w:rsid w:val="00B72286"/>
    <w:rsid w:val="00B724A0"/>
    <w:rsid w:val="00B73F0E"/>
    <w:rsid w:val="00B75801"/>
    <w:rsid w:val="00B77292"/>
    <w:rsid w:val="00B80196"/>
    <w:rsid w:val="00B8019A"/>
    <w:rsid w:val="00B812AF"/>
    <w:rsid w:val="00B8182C"/>
    <w:rsid w:val="00B81B69"/>
    <w:rsid w:val="00B84964"/>
    <w:rsid w:val="00B85564"/>
    <w:rsid w:val="00B858A1"/>
    <w:rsid w:val="00B87804"/>
    <w:rsid w:val="00B87C90"/>
    <w:rsid w:val="00B90F4A"/>
    <w:rsid w:val="00B930A7"/>
    <w:rsid w:val="00B93ABB"/>
    <w:rsid w:val="00B9539C"/>
    <w:rsid w:val="00B95452"/>
    <w:rsid w:val="00B96A72"/>
    <w:rsid w:val="00B973A0"/>
    <w:rsid w:val="00B97CF2"/>
    <w:rsid w:val="00BA009C"/>
    <w:rsid w:val="00BA02A8"/>
    <w:rsid w:val="00BA04AD"/>
    <w:rsid w:val="00BA0536"/>
    <w:rsid w:val="00BA0BFC"/>
    <w:rsid w:val="00BA0F72"/>
    <w:rsid w:val="00BA27B1"/>
    <w:rsid w:val="00BA2D12"/>
    <w:rsid w:val="00BA5306"/>
    <w:rsid w:val="00BA66F9"/>
    <w:rsid w:val="00BB1D80"/>
    <w:rsid w:val="00BB3326"/>
    <w:rsid w:val="00BB7161"/>
    <w:rsid w:val="00BB7401"/>
    <w:rsid w:val="00BC38DA"/>
    <w:rsid w:val="00BC42DB"/>
    <w:rsid w:val="00BC4A42"/>
    <w:rsid w:val="00BD08BB"/>
    <w:rsid w:val="00BD0BE5"/>
    <w:rsid w:val="00BD11BC"/>
    <w:rsid w:val="00BD2962"/>
    <w:rsid w:val="00BD3DBC"/>
    <w:rsid w:val="00BD5CA7"/>
    <w:rsid w:val="00BE0CAC"/>
    <w:rsid w:val="00BE0FD4"/>
    <w:rsid w:val="00BE22E8"/>
    <w:rsid w:val="00BE286B"/>
    <w:rsid w:val="00BE47CF"/>
    <w:rsid w:val="00BE57B4"/>
    <w:rsid w:val="00BE59E0"/>
    <w:rsid w:val="00BE6C40"/>
    <w:rsid w:val="00BE7D05"/>
    <w:rsid w:val="00BF153C"/>
    <w:rsid w:val="00BF1767"/>
    <w:rsid w:val="00BF1D25"/>
    <w:rsid w:val="00BF1D9D"/>
    <w:rsid w:val="00BF2F02"/>
    <w:rsid w:val="00BF4832"/>
    <w:rsid w:val="00BF4B8A"/>
    <w:rsid w:val="00BF55DB"/>
    <w:rsid w:val="00BF6B61"/>
    <w:rsid w:val="00BF7E28"/>
    <w:rsid w:val="00C00A50"/>
    <w:rsid w:val="00C01D53"/>
    <w:rsid w:val="00C05461"/>
    <w:rsid w:val="00C05B49"/>
    <w:rsid w:val="00C063A3"/>
    <w:rsid w:val="00C07DEC"/>
    <w:rsid w:val="00C11F9A"/>
    <w:rsid w:val="00C131DB"/>
    <w:rsid w:val="00C153AF"/>
    <w:rsid w:val="00C156D6"/>
    <w:rsid w:val="00C15CD2"/>
    <w:rsid w:val="00C17A4F"/>
    <w:rsid w:val="00C226F8"/>
    <w:rsid w:val="00C22775"/>
    <w:rsid w:val="00C22FFB"/>
    <w:rsid w:val="00C24AB7"/>
    <w:rsid w:val="00C25507"/>
    <w:rsid w:val="00C25BC8"/>
    <w:rsid w:val="00C261C9"/>
    <w:rsid w:val="00C27AE9"/>
    <w:rsid w:val="00C32AE4"/>
    <w:rsid w:val="00C35F98"/>
    <w:rsid w:val="00C41947"/>
    <w:rsid w:val="00C41B48"/>
    <w:rsid w:val="00C42398"/>
    <w:rsid w:val="00C44324"/>
    <w:rsid w:val="00C45993"/>
    <w:rsid w:val="00C6158F"/>
    <w:rsid w:val="00C61C25"/>
    <w:rsid w:val="00C6587F"/>
    <w:rsid w:val="00C65EF0"/>
    <w:rsid w:val="00C66561"/>
    <w:rsid w:val="00C674EA"/>
    <w:rsid w:val="00C67670"/>
    <w:rsid w:val="00C67E40"/>
    <w:rsid w:val="00C70505"/>
    <w:rsid w:val="00C70DF4"/>
    <w:rsid w:val="00C715F7"/>
    <w:rsid w:val="00C71B40"/>
    <w:rsid w:val="00C7378F"/>
    <w:rsid w:val="00C7411F"/>
    <w:rsid w:val="00C80F2C"/>
    <w:rsid w:val="00C815E9"/>
    <w:rsid w:val="00C81E81"/>
    <w:rsid w:val="00C831B5"/>
    <w:rsid w:val="00C8342A"/>
    <w:rsid w:val="00C854FF"/>
    <w:rsid w:val="00C905BC"/>
    <w:rsid w:val="00C93BF5"/>
    <w:rsid w:val="00C94D68"/>
    <w:rsid w:val="00C954B8"/>
    <w:rsid w:val="00C97639"/>
    <w:rsid w:val="00CA281E"/>
    <w:rsid w:val="00CA4136"/>
    <w:rsid w:val="00CA7F24"/>
    <w:rsid w:val="00CB050B"/>
    <w:rsid w:val="00CB129E"/>
    <w:rsid w:val="00CB1688"/>
    <w:rsid w:val="00CB4F37"/>
    <w:rsid w:val="00CB63E9"/>
    <w:rsid w:val="00CB68B1"/>
    <w:rsid w:val="00CB6B88"/>
    <w:rsid w:val="00CB7CE3"/>
    <w:rsid w:val="00CC0F83"/>
    <w:rsid w:val="00CC2046"/>
    <w:rsid w:val="00CC28B4"/>
    <w:rsid w:val="00CC4790"/>
    <w:rsid w:val="00CC6D66"/>
    <w:rsid w:val="00CD080C"/>
    <w:rsid w:val="00CD128F"/>
    <w:rsid w:val="00CD2AE5"/>
    <w:rsid w:val="00CD30FE"/>
    <w:rsid w:val="00CD36CA"/>
    <w:rsid w:val="00CD37C5"/>
    <w:rsid w:val="00CD39E8"/>
    <w:rsid w:val="00CD4014"/>
    <w:rsid w:val="00CD43A9"/>
    <w:rsid w:val="00CE04F0"/>
    <w:rsid w:val="00CE0803"/>
    <w:rsid w:val="00CE2109"/>
    <w:rsid w:val="00CE2FF8"/>
    <w:rsid w:val="00CE5AC3"/>
    <w:rsid w:val="00CE6163"/>
    <w:rsid w:val="00CE67B4"/>
    <w:rsid w:val="00CE791C"/>
    <w:rsid w:val="00CF1A4C"/>
    <w:rsid w:val="00CF1CA5"/>
    <w:rsid w:val="00CF3955"/>
    <w:rsid w:val="00CF5A71"/>
    <w:rsid w:val="00CF675D"/>
    <w:rsid w:val="00CF77A1"/>
    <w:rsid w:val="00D006ED"/>
    <w:rsid w:val="00D007CB"/>
    <w:rsid w:val="00D03978"/>
    <w:rsid w:val="00D0401A"/>
    <w:rsid w:val="00D060ED"/>
    <w:rsid w:val="00D079E9"/>
    <w:rsid w:val="00D14EC0"/>
    <w:rsid w:val="00D15822"/>
    <w:rsid w:val="00D1647E"/>
    <w:rsid w:val="00D17329"/>
    <w:rsid w:val="00D23339"/>
    <w:rsid w:val="00D233A2"/>
    <w:rsid w:val="00D24013"/>
    <w:rsid w:val="00D2405A"/>
    <w:rsid w:val="00D25C04"/>
    <w:rsid w:val="00D26C63"/>
    <w:rsid w:val="00D26D5E"/>
    <w:rsid w:val="00D30325"/>
    <w:rsid w:val="00D3121A"/>
    <w:rsid w:val="00D31B2D"/>
    <w:rsid w:val="00D31C3E"/>
    <w:rsid w:val="00D3660F"/>
    <w:rsid w:val="00D428C5"/>
    <w:rsid w:val="00D42964"/>
    <w:rsid w:val="00D46E5B"/>
    <w:rsid w:val="00D53FA9"/>
    <w:rsid w:val="00D544D7"/>
    <w:rsid w:val="00D550AB"/>
    <w:rsid w:val="00D57084"/>
    <w:rsid w:val="00D57449"/>
    <w:rsid w:val="00D57DA3"/>
    <w:rsid w:val="00D63ADF"/>
    <w:rsid w:val="00D66915"/>
    <w:rsid w:val="00D66C22"/>
    <w:rsid w:val="00D67187"/>
    <w:rsid w:val="00D72E57"/>
    <w:rsid w:val="00D7343C"/>
    <w:rsid w:val="00D7495F"/>
    <w:rsid w:val="00D749FB"/>
    <w:rsid w:val="00D75A34"/>
    <w:rsid w:val="00D7694D"/>
    <w:rsid w:val="00D80835"/>
    <w:rsid w:val="00D815A1"/>
    <w:rsid w:val="00D8201B"/>
    <w:rsid w:val="00D82AE9"/>
    <w:rsid w:val="00D85528"/>
    <w:rsid w:val="00D857E2"/>
    <w:rsid w:val="00D85FAE"/>
    <w:rsid w:val="00D873C8"/>
    <w:rsid w:val="00D87E27"/>
    <w:rsid w:val="00D9013A"/>
    <w:rsid w:val="00D90671"/>
    <w:rsid w:val="00D90AA4"/>
    <w:rsid w:val="00D91FC4"/>
    <w:rsid w:val="00D92DE2"/>
    <w:rsid w:val="00D943F8"/>
    <w:rsid w:val="00D9511D"/>
    <w:rsid w:val="00DA0ACA"/>
    <w:rsid w:val="00DA28E4"/>
    <w:rsid w:val="00DA32FC"/>
    <w:rsid w:val="00DA3689"/>
    <w:rsid w:val="00DA6D64"/>
    <w:rsid w:val="00DA6E92"/>
    <w:rsid w:val="00DA788A"/>
    <w:rsid w:val="00DA7D88"/>
    <w:rsid w:val="00DB0166"/>
    <w:rsid w:val="00DB030B"/>
    <w:rsid w:val="00DB058D"/>
    <w:rsid w:val="00DB17A3"/>
    <w:rsid w:val="00DB1C18"/>
    <w:rsid w:val="00DB2180"/>
    <w:rsid w:val="00DB2438"/>
    <w:rsid w:val="00DB2523"/>
    <w:rsid w:val="00DB36B0"/>
    <w:rsid w:val="00DB7566"/>
    <w:rsid w:val="00DC0D13"/>
    <w:rsid w:val="00DC23AC"/>
    <w:rsid w:val="00DC449B"/>
    <w:rsid w:val="00DC5201"/>
    <w:rsid w:val="00DC526E"/>
    <w:rsid w:val="00DC5979"/>
    <w:rsid w:val="00DC772D"/>
    <w:rsid w:val="00DD39A4"/>
    <w:rsid w:val="00DD3D4C"/>
    <w:rsid w:val="00DD4632"/>
    <w:rsid w:val="00DD4A41"/>
    <w:rsid w:val="00DD5C46"/>
    <w:rsid w:val="00DE0185"/>
    <w:rsid w:val="00DE0646"/>
    <w:rsid w:val="00DE104E"/>
    <w:rsid w:val="00DE4E4D"/>
    <w:rsid w:val="00DE5418"/>
    <w:rsid w:val="00DE6581"/>
    <w:rsid w:val="00DE7599"/>
    <w:rsid w:val="00DF0F45"/>
    <w:rsid w:val="00DF1AA0"/>
    <w:rsid w:val="00DF44F7"/>
    <w:rsid w:val="00DF4C50"/>
    <w:rsid w:val="00DF57EA"/>
    <w:rsid w:val="00DF64D6"/>
    <w:rsid w:val="00DF6761"/>
    <w:rsid w:val="00DF68D2"/>
    <w:rsid w:val="00DF7090"/>
    <w:rsid w:val="00E00F82"/>
    <w:rsid w:val="00E01257"/>
    <w:rsid w:val="00E01B02"/>
    <w:rsid w:val="00E04F84"/>
    <w:rsid w:val="00E04FFE"/>
    <w:rsid w:val="00E05942"/>
    <w:rsid w:val="00E060ED"/>
    <w:rsid w:val="00E06585"/>
    <w:rsid w:val="00E07F1C"/>
    <w:rsid w:val="00E1290B"/>
    <w:rsid w:val="00E16C2B"/>
    <w:rsid w:val="00E1714F"/>
    <w:rsid w:val="00E174A8"/>
    <w:rsid w:val="00E1778F"/>
    <w:rsid w:val="00E20E22"/>
    <w:rsid w:val="00E22C1B"/>
    <w:rsid w:val="00E264E0"/>
    <w:rsid w:val="00E26EBE"/>
    <w:rsid w:val="00E27C98"/>
    <w:rsid w:val="00E31237"/>
    <w:rsid w:val="00E3154E"/>
    <w:rsid w:val="00E32131"/>
    <w:rsid w:val="00E3515E"/>
    <w:rsid w:val="00E359BF"/>
    <w:rsid w:val="00E35D7B"/>
    <w:rsid w:val="00E36C40"/>
    <w:rsid w:val="00E403CD"/>
    <w:rsid w:val="00E44C6A"/>
    <w:rsid w:val="00E4523F"/>
    <w:rsid w:val="00E462FB"/>
    <w:rsid w:val="00E477DF"/>
    <w:rsid w:val="00E47CC8"/>
    <w:rsid w:val="00E500C1"/>
    <w:rsid w:val="00E501A1"/>
    <w:rsid w:val="00E51325"/>
    <w:rsid w:val="00E51902"/>
    <w:rsid w:val="00E543F8"/>
    <w:rsid w:val="00E55896"/>
    <w:rsid w:val="00E558EE"/>
    <w:rsid w:val="00E559C5"/>
    <w:rsid w:val="00E606EB"/>
    <w:rsid w:val="00E64FEC"/>
    <w:rsid w:val="00E65352"/>
    <w:rsid w:val="00E66447"/>
    <w:rsid w:val="00E67A44"/>
    <w:rsid w:val="00E70EB0"/>
    <w:rsid w:val="00E72A64"/>
    <w:rsid w:val="00E72C62"/>
    <w:rsid w:val="00E72E6C"/>
    <w:rsid w:val="00E7388C"/>
    <w:rsid w:val="00E7393A"/>
    <w:rsid w:val="00E753D2"/>
    <w:rsid w:val="00E767C1"/>
    <w:rsid w:val="00E83721"/>
    <w:rsid w:val="00E90128"/>
    <w:rsid w:val="00E90953"/>
    <w:rsid w:val="00E91703"/>
    <w:rsid w:val="00E92405"/>
    <w:rsid w:val="00E93253"/>
    <w:rsid w:val="00EA1AF2"/>
    <w:rsid w:val="00EA2EB6"/>
    <w:rsid w:val="00EA32EA"/>
    <w:rsid w:val="00EA32EF"/>
    <w:rsid w:val="00EA41E9"/>
    <w:rsid w:val="00EA4E54"/>
    <w:rsid w:val="00EA59FF"/>
    <w:rsid w:val="00EA5BDA"/>
    <w:rsid w:val="00EA6E96"/>
    <w:rsid w:val="00EB10E6"/>
    <w:rsid w:val="00EB1CDB"/>
    <w:rsid w:val="00EB1E84"/>
    <w:rsid w:val="00EB2B3F"/>
    <w:rsid w:val="00EB2D9C"/>
    <w:rsid w:val="00EB30F0"/>
    <w:rsid w:val="00EB4401"/>
    <w:rsid w:val="00EB6A6D"/>
    <w:rsid w:val="00EB6CEC"/>
    <w:rsid w:val="00EB6DC3"/>
    <w:rsid w:val="00EC00ED"/>
    <w:rsid w:val="00EC0885"/>
    <w:rsid w:val="00EC1C46"/>
    <w:rsid w:val="00EC2089"/>
    <w:rsid w:val="00EC296C"/>
    <w:rsid w:val="00EC3340"/>
    <w:rsid w:val="00EC3393"/>
    <w:rsid w:val="00EC4E18"/>
    <w:rsid w:val="00EC571F"/>
    <w:rsid w:val="00EC5AD5"/>
    <w:rsid w:val="00EC6A1D"/>
    <w:rsid w:val="00EC6B49"/>
    <w:rsid w:val="00EC6EE3"/>
    <w:rsid w:val="00EC720D"/>
    <w:rsid w:val="00ED1B97"/>
    <w:rsid w:val="00ED39C0"/>
    <w:rsid w:val="00ED5175"/>
    <w:rsid w:val="00EE0396"/>
    <w:rsid w:val="00EE0AD4"/>
    <w:rsid w:val="00EE15C8"/>
    <w:rsid w:val="00EE4A38"/>
    <w:rsid w:val="00EF1040"/>
    <w:rsid w:val="00EF1B37"/>
    <w:rsid w:val="00EF575C"/>
    <w:rsid w:val="00EF5E89"/>
    <w:rsid w:val="00EF7CD3"/>
    <w:rsid w:val="00EF7F36"/>
    <w:rsid w:val="00EF7FD2"/>
    <w:rsid w:val="00F0458D"/>
    <w:rsid w:val="00F0498B"/>
    <w:rsid w:val="00F0671D"/>
    <w:rsid w:val="00F0784C"/>
    <w:rsid w:val="00F07B10"/>
    <w:rsid w:val="00F10279"/>
    <w:rsid w:val="00F123E8"/>
    <w:rsid w:val="00F13C87"/>
    <w:rsid w:val="00F16250"/>
    <w:rsid w:val="00F1789C"/>
    <w:rsid w:val="00F2183E"/>
    <w:rsid w:val="00F2683F"/>
    <w:rsid w:val="00F2698E"/>
    <w:rsid w:val="00F310A8"/>
    <w:rsid w:val="00F31B5A"/>
    <w:rsid w:val="00F32C03"/>
    <w:rsid w:val="00F33519"/>
    <w:rsid w:val="00F36415"/>
    <w:rsid w:val="00F371AB"/>
    <w:rsid w:val="00F37475"/>
    <w:rsid w:val="00F37569"/>
    <w:rsid w:val="00F376FF"/>
    <w:rsid w:val="00F40429"/>
    <w:rsid w:val="00F40A61"/>
    <w:rsid w:val="00F41A78"/>
    <w:rsid w:val="00F42FB0"/>
    <w:rsid w:val="00F43196"/>
    <w:rsid w:val="00F43CCB"/>
    <w:rsid w:val="00F446D3"/>
    <w:rsid w:val="00F44E2D"/>
    <w:rsid w:val="00F46F9C"/>
    <w:rsid w:val="00F51C6C"/>
    <w:rsid w:val="00F5255E"/>
    <w:rsid w:val="00F5258D"/>
    <w:rsid w:val="00F5263E"/>
    <w:rsid w:val="00F56DD6"/>
    <w:rsid w:val="00F57BA3"/>
    <w:rsid w:val="00F57E1D"/>
    <w:rsid w:val="00F603BF"/>
    <w:rsid w:val="00F60C86"/>
    <w:rsid w:val="00F655C5"/>
    <w:rsid w:val="00F65748"/>
    <w:rsid w:val="00F66020"/>
    <w:rsid w:val="00F66536"/>
    <w:rsid w:val="00F6728A"/>
    <w:rsid w:val="00F70539"/>
    <w:rsid w:val="00F71208"/>
    <w:rsid w:val="00F72643"/>
    <w:rsid w:val="00F73A8F"/>
    <w:rsid w:val="00F77961"/>
    <w:rsid w:val="00F85066"/>
    <w:rsid w:val="00F86241"/>
    <w:rsid w:val="00F86E0A"/>
    <w:rsid w:val="00F876B5"/>
    <w:rsid w:val="00F90011"/>
    <w:rsid w:val="00F903CF"/>
    <w:rsid w:val="00F9147F"/>
    <w:rsid w:val="00F93E32"/>
    <w:rsid w:val="00F950BB"/>
    <w:rsid w:val="00F959B8"/>
    <w:rsid w:val="00F95AED"/>
    <w:rsid w:val="00F967F5"/>
    <w:rsid w:val="00F9791E"/>
    <w:rsid w:val="00F97DC2"/>
    <w:rsid w:val="00FA09EC"/>
    <w:rsid w:val="00FA1130"/>
    <w:rsid w:val="00FA23EE"/>
    <w:rsid w:val="00FA6C08"/>
    <w:rsid w:val="00FA6C33"/>
    <w:rsid w:val="00FA730C"/>
    <w:rsid w:val="00FB0924"/>
    <w:rsid w:val="00FB21D4"/>
    <w:rsid w:val="00FB36C6"/>
    <w:rsid w:val="00FC0ECC"/>
    <w:rsid w:val="00FC1512"/>
    <w:rsid w:val="00FC22B4"/>
    <w:rsid w:val="00FC3183"/>
    <w:rsid w:val="00FC40CD"/>
    <w:rsid w:val="00FC65BA"/>
    <w:rsid w:val="00FC6740"/>
    <w:rsid w:val="00FD1791"/>
    <w:rsid w:val="00FD1D85"/>
    <w:rsid w:val="00FD6747"/>
    <w:rsid w:val="00FD774D"/>
    <w:rsid w:val="00FD786B"/>
    <w:rsid w:val="00FE1CC8"/>
    <w:rsid w:val="00FE3105"/>
    <w:rsid w:val="00FE43DA"/>
    <w:rsid w:val="00FE47E2"/>
    <w:rsid w:val="00FE7C87"/>
    <w:rsid w:val="00FF06A9"/>
    <w:rsid w:val="00FF08A4"/>
    <w:rsid w:val="00FF0DE8"/>
    <w:rsid w:val="00FF167F"/>
    <w:rsid w:val="00FF1B43"/>
    <w:rsid w:val="00FF218C"/>
    <w:rsid w:val="00FF5A0E"/>
    <w:rsid w:val="00FF6C82"/>
    <w:rsid w:val="00FF7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21311C"/>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5C39"/>
    <w:pPr>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213">
      <w:bodyDiv w:val="1"/>
      <w:marLeft w:val="0"/>
      <w:marRight w:val="0"/>
      <w:marTop w:val="0"/>
      <w:marBottom w:val="0"/>
      <w:divBdr>
        <w:top w:val="none" w:sz="0" w:space="0" w:color="auto"/>
        <w:left w:val="none" w:sz="0" w:space="0" w:color="auto"/>
        <w:bottom w:val="none" w:sz="0" w:space="0" w:color="auto"/>
        <w:right w:val="none" w:sz="0" w:space="0" w:color="auto"/>
      </w:divBdr>
    </w:div>
    <w:div w:id="325672591">
      <w:bodyDiv w:val="1"/>
      <w:marLeft w:val="0"/>
      <w:marRight w:val="0"/>
      <w:marTop w:val="0"/>
      <w:marBottom w:val="0"/>
      <w:divBdr>
        <w:top w:val="none" w:sz="0" w:space="0" w:color="auto"/>
        <w:left w:val="none" w:sz="0" w:space="0" w:color="auto"/>
        <w:bottom w:val="none" w:sz="0" w:space="0" w:color="auto"/>
        <w:right w:val="none" w:sz="0" w:space="0" w:color="auto"/>
      </w:divBdr>
    </w:div>
    <w:div w:id="379790072">
      <w:bodyDiv w:val="1"/>
      <w:marLeft w:val="0"/>
      <w:marRight w:val="0"/>
      <w:marTop w:val="0"/>
      <w:marBottom w:val="0"/>
      <w:divBdr>
        <w:top w:val="none" w:sz="0" w:space="0" w:color="auto"/>
        <w:left w:val="none" w:sz="0" w:space="0" w:color="auto"/>
        <w:bottom w:val="none" w:sz="0" w:space="0" w:color="auto"/>
        <w:right w:val="none" w:sz="0" w:space="0" w:color="auto"/>
      </w:divBdr>
    </w:div>
    <w:div w:id="382797640">
      <w:bodyDiv w:val="1"/>
      <w:marLeft w:val="0"/>
      <w:marRight w:val="0"/>
      <w:marTop w:val="0"/>
      <w:marBottom w:val="0"/>
      <w:divBdr>
        <w:top w:val="none" w:sz="0" w:space="0" w:color="auto"/>
        <w:left w:val="none" w:sz="0" w:space="0" w:color="auto"/>
        <w:bottom w:val="none" w:sz="0" w:space="0" w:color="auto"/>
        <w:right w:val="none" w:sz="0" w:space="0" w:color="auto"/>
      </w:divBdr>
    </w:div>
    <w:div w:id="387341860">
      <w:bodyDiv w:val="1"/>
      <w:marLeft w:val="0"/>
      <w:marRight w:val="0"/>
      <w:marTop w:val="0"/>
      <w:marBottom w:val="0"/>
      <w:divBdr>
        <w:top w:val="none" w:sz="0" w:space="0" w:color="auto"/>
        <w:left w:val="none" w:sz="0" w:space="0" w:color="auto"/>
        <w:bottom w:val="none" w:sz="0" w:space="0" w:color="auto"/>
        <w:right w:val="none" w:sz="0" w:space="0" w:color="auto"/>
      </w:divBdr>
    </w:div>
    <w:div w:id="391777083">
      <w:bodyDiv w:val="1"/>
      <w:marLeft w:val="0"/>
      <w:marRight w:val="0"/>
      <w:marTop w:val="0"/>
      <w:marBottom w:val="0"/>
      <w:divBdr>
        <w:top w:val="none" w:sz="0" w:space="0" w:color="auto"/>
        <w:left w:val="none" w:sz="0" w:space="0" w:color="auto"/>
        <w:bottom w:val="none" w:sz="0" w:space="0" w:color="auto"/>
        <w:right w:val="none" w:sz="0" w:space="0" w:color="auto"/>
      </w:divBdr>
    </w:div>
    <w:div w:id="485124915">
      <w:bodyDiv w:val="1"/>
      <w:marLeft w:val="0"/>
      <w:marRight w:val="0"/>
      <w:marTop w:val="0"/>
      <w:marBottom w:val="0"/>
      <w:divBdr>
        <w:top w:val="none" w:sz="0" w:space="0" w:color="auto"/>
        <w:left w:val="none" w:sz="0" w:space="0" w:color="auto"/>
        <w:bottom w:val="none" w:sz="0" w:space="0" w:color="auto"/>
        <w:right w:val="none" w:sz="0" w:space="0" w:color="auto"/>
      </w:divBdr>
    </w:div>
    <w:div w:id="599684321">
      <w:bodyDiv w:val="1"/>
      <w:marLeft w:val="0"/>
      <w:marRight w:val="0"/>
      <w:marTop w:val="0"/>
      <w:marBottom w:val="0"/>
      <w:divBdr>
        <w:top w:val="none" w:sz="0" w:space="0" w:color="auto"/>
        <w:left w:val="none" w:sz="0" w:space="0" w:color="auto"/>
        <w:bottom w:val="none" w:sz="0" w:space="0" w:color="auto"/>
        <w:right w:val="none" w:sz="0" w:space="0" w:color="auto"/>
      </w:divBdr>
    </w:div>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15984039">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683018352">
      <w:bodyDiv w:val="1"/>
      <w:marLeft w:val="0"/>
      <w:marRight w:val="0"/>
      <w:marTop w:val="0"/>
      <w:marBottom w:val="0"/>
      <w:divBdr>
        <w:top w:val="none" w:sz="0" w:space="0" w:color="auto"/>
        <w:left w:val="none" w:sz="0" w:space="0" w:color="auto"/>
        <w:bottom w:val="none" w:sz="0" w:space="0" w:color="auto"/>
        <w:right w:val="none" w:sz="0" w:space="0" w:color="auto"/>
      </w:divBdr>
    </w:div>
    <w:div w:id="697583819">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791480931">
      <w:bodyDiv w:val="1"/>
      <w:marLeft w:val="0"/>
      <w:marRight w:val="0"/>
      <w:marTop w:val="0"/>
      <w:marBottom w:val="0"/>
      <w:divBdr>
        <w:top w:val="none" w:sz="0" w:space="0" w:color="auto"/>
        <w:left w:val="none" w:sz="0" w:space="0" w:color="auto"/>
        <w:bottom w:val="none" w:sz="0" w:space="0" w:color="auto"/>
        <w:right w:val="none" w:sz="0" w:space="0" w:color="auto"/>
      </w:divBdr>
    </w:div>
    <w:div w:id="821970074">
      <w:bodyDiv w:val="1"/>
      <w:marLeft w:val="0"/>
      <w:marRight w:val="0"/>
      <w:marTop w:val="0"/>
      <w:marBottom w:val="0"/>
      <w:divBdr>
        <w:top w:val="none" w:sz="0" w:space="0" w:color="auto"/>
        <w:left w:val="none" w:sz="0" w:space="0" w:color="auto"/>
        <w:bottom w:val="none" w:sz="0" w:space="0" w:color="auto"/>
        <w:right w:val="none" w:sz="0" w:space="0" w:color="auto"/>
      </w:divBdr>
    </w:div>
    <w:div w:id="834226984">
      <w:bodyDiv w:val="1"/>
      <w:marLeft w:val="0"/>
      <w:marRight w:val="0"/>
      <w:marTop w:val="0"/>
      <w:marBottom w:val="0"/>
      <w:divBdr>
        <w:top w:val="none" w:sz="0" w:space="0" w:color="auto"/>
        <w:left w:val="none" w:sz="0" w:space="0" w:color="auto"/>
        <w:bottom w:val="none" w:sz="0" w:space="0" w:color="auto"/>
        <w:right w:val="none" w:sz="0" w:space="0" w:color="auto"/>
      </w:divBdr>
    </w:div>
    <w:div w:id="842353352">
      <w:bodyDiv w:val="1"/>
      <w:marLeft w:val="0"/>
      <w:marRight w:val="0"/>
      <w:marTop w:val="0"/>
      <w:marBottom w:val="0"/>
      <w:divBdr>
        <w:top w:val="none" w:sz="0" w:space="0" w:color="auto"/>
        <w:left w:val="none" w:sz="0" w:space="0" w:color="auto"/>
        <w:bottom w:val="none" w:sz="0" w:space="0" w:color="auto"/>
        <w:right w:val="none" w:sz="0" w:space="0" w:color="auto"/>
      </w:divBdr>
    </w:div>
    <w:div w:id="846557934">
      <w:bodyDiv w:val="1"/>
      <w:marLeft w:val="0"/>
      <w:marRight w:val="0"/>
      <w:marTop w:val="0"/>
      <w:marBottom w:val="0"/>
      <w:divBdr>
        <w:top w:val="none" w:sz="0" w:space="0" w:color="auto"/>
        <w:left w:val="none" w:sz="0" w:space="0" w:color="auto"/>
        <w:bottom w:val="none" w:sz="0" w:space="0" w:color="auto"/>
        <w:right w:val="none" w:sz="0" w:space="0" w:color="auto"/>
      </w:divBdr>
    </w:div>
    <w:div w:id="913930944">
      <w:bodyDiv w:val="1"/>
      <w:marLeft w:val="0"/>
      <w:marRight w:val="0"/>
      <w:marTop w:val="0"/>
      <w:marBottom w:val="0"/>
      <w:divBdr>
        <w:top w:val="none" w:sz="0" w:space="0" w:color="auto"/>
        <w:left w:val="none" w:sz="0" w:space="0" w:color="auto"/>
        <w:bottom w:val="none" w:sz="0" w:space="0" w:color="auto"/>
        <w:right w:val="none" w:sz="0" w:space="0" w:color="auto"/>
      </w:divBdr>
    </w:div>
    <w:div w:id="978414391">
      <w:bodyDiv w:val="1"/>
      <w:marLeft w:val="0"/>
      <w:marRight w:val="0"/>
      <w:marTop w:val="0"/>
      <w:marBottom w:val="0"/>
      <w:divBdr>
        <w:top w:val="none" w:sz="0" w:space="0" w:color="auto"/>
        <w:left w:val="none" w:sz="0" w:space="0" w:color="auto"/>
        <w:bottom w:val="none" w:sz="0" w:space="0" w:color="auto"/>
        <w:right w:val="none" w:sz="0" w:space="0" w:color="auto"/>
      </w:divBdr>
    </w:div>
    <w:div w:id="1014764171">
      <w:bodyDiv w:val="1"/>
      <w:marLeft w:val="0"/>
      <w:marRight w:val="0"/>
      <w:marTop w:val="0"/>
      <w:marBottom w:val="0"/>
      <w:divBdr>
        <w:top w:val="none" w:sz="0" w:space="0" w:color="auto"/>
        <w:left w:val="none" w:sz="0" w:space="0" w:color="auto"/>
        <w:bottom w:val="none" w:sz="0" w:space="0" w:color="auto"/>
        <w:right w:val="none" w:sz="0" w:space="0" w:color="auto"/>
      </w:divBdr>
    </w:div>
    <w:div w:id="1043603653">
      <w:bodyDiv w:val="1"/>
      <w:marLeft w:val="0"/>
      <w:marRight w:val="0"/>
      <w:marTop w:val="0"/>
      <w:marBottom w:val="0"/>
      <w:divBdr>
        <w:top w:val="none" w:sz="0" w:space="0" w:color="auto"/>
        <w:left w:val="none" w:sz="0" w:space="0" w:color="auto"/>
        <w:bottom w:val="none" w:sz="0" w:space="0" w:color="auto"/>
        <w:right w:val="none" w:sz="0" w:space="0" w:color="auto"/>
      </w:divBdr>
    </w:div>
    <w:div w:id="1112632237">
      <w:bodyDiv w:val="1"/>
      <w:marLeft w:val="0"/>
      <w:marRight w:val="0"/>
      <w:marTop w:val="0"/>
      <w:marBottom w:val="0"/>
      <w:divBdr>
        <w:top w:val="none" w:sz="0" w:space="0" w:color="auto"/>
        <w:left w:val="none" w:sz="0" w:space="0" w:color="auto"/>
        <w:bottom w:val="none" w:sz="0" w:space="0" w:color="auto"/>
        <w:right w:val="none" w:sz="0" w:space="0" w:color="auto"/>
      </w:divBdr>
    </w:div>
    <w:div w:id="1216116062">
      <w:bodyDiv w:val="1"/>
      <w:marLeft w:val="0"/>
      <w:marRight w:val="0"/>
      <w:marTop w:val="0"/>
      <w:marBottom w:val="0"/>
      <w:divBdr>
        <w:top w:val="none" w:sz="0" w:space="0" w:color="auto"/>
        <w:left w:val="none" w:sz="0" w:space="0" w:color="auto"/>
        <w:bottom w:val="none" w:sz="0" w:space="0" w:color="auto"/>
        <w:right w:val="none" w:sz="0" w:space="0" w:color="auto"/>
      </w:divBdr>
    </w:div>
    <w:div w:id="1229421694">
      <w:bodyDiv w:val="1"/>
      <w:marLeft w:val="0"/>
      <w:marRight w:val="0"/>
      <w:marTop w:val="0"/>
      <w:marBottom w:val="0"/>
      <w:divBdr>
        <w:top w:val="none" w:sz="0" w:space="0" w:color="auto"/>
        <w:left w:val="none" w:sz="0" w:space="0" w:color="auto"/>
        <w:bottom w:val="none" w:sz="0" w:space="0" w:color="auto"/>
        <w:right w:val="none" w:sz="0" w:space="0" w:color="auto"/>
      </w:divBdr>
    </w:div>
    <w:div w:id="1230967431">
      <w:bodyDiv w:val="1"/>
      <w:marLeft w:val="0"/>
      <w:marRight w:val="0"/>
      <w:marTop w:val="0"/>
      <w:marBottom w:val="0"/>
      <w:divBdr>
        <w:top w:val="none" w:sz="0" w:space="0" w:color="auto"/>
        <w:left w:val="none" w:sz="0" w:space="0" w:color="auto"/>
        <w:bottom w:val="none" w:sz="0" w:space="0" w:color="auto"/>
        <w:right w:val="none" w:sz="0" w:space="0" w:color="auto"/>
      </w:divBdr>
    </w:div>
    <w:div w:id="1330210364">
      <w:bodyDiv w:val="1"/>
      <w:marLeft w:val="0"/>
      <w:marRight w:val="0"/>
      <w:marTop w:val="0"/>
      <w:marBottom w:val="0"/>
      <w:divBdr>
        <w:top w:val="none" w:sz="0" w:space="0" w:color="auto"/>
        <w:left w:val="none" w:sz="0" w:space="0" w:color="auto"/>
        <w:bottom w:val="none" w:sz="0" w:space="0" w:color="auto"/>
        <w:right w:val="none" w:sz="0" w:space="0" w:color="auto"/>
      </w:divBdr>
    </w:div>
    <w:div w:id="1332373472">
      <w:bodyDiv w:val="1"/>
      <w:marLeft w:val="0"/>
      <w:marRight w:val="0"/>
      <w:marTop w:val="0"/>
      <w:marBottom w:val="0"/>
      <w:divBdr>
        <w:top w:val="none" w:sz="0" w:space="0" w:color="auto"/>
        <w:left w:val="none" w:sz="0" w:space="0" w:color="auto"/>
        <w:bottom w:val="none" w:sz="0" w:space="0" w:color="auto"/>
        <w:right w:val="none" w:sz="0" w:space="0" w:color="auto"/>
      </w:divBdr>
    </w:div>
    <w:div w:id="1333528812">
      <w:bodyDiv w:val="1"/>
      <w:marLeft w:val="0"/>
      <w:marRight w:val="0"/>
      <w:marTop w:val="0"/>
      <w:marBottom w:val="0"/>
      <w:divBdr>
        <w:top w:val="none" w:sz="0" w:space="0" w:color="auto"/>
        <w:left w:val="none" w:sz="0" w:space="0" w:color="auto"/>
        <w:bottom w:val="none" w:sz="0" w:space="0" w:color="auto"/>
        <w:right w:val="none" w:sz="0" w:space="0" w:color="auto"/>
      </w:divBdr>
    </w:div>
    <w:div w:id="1474448215">
      <w:bodyDiv w:val="1"/>
      <w:marLeft w:val="0"/>
      <w:marRight w:val="0"/>
      <w:marTop w:val="0"/>
      <w:marBottom w:val="0"/>
      <w:divBdr>
        <w:top w:val="none" w:sz="0" w:space="0" w:color="auto"/>
        <w:left w:val="none" w:sz="0" w:space="0" w:color="auto"/>
        <w:bottom w:val="none" w:sz="0" w:space="0" w:color="auto"/>
        <w:right w:val="none" w:sz="0" w:space="0" w:color="auto"/>
      </w:divBdr>
    </w:div>
    <w:div w:id="1592084387">
      <w:bodyDiv w:val="1"/>
      <w:marLeft w:val="0"/>
      <w:marRight w:val="0"/>
      <w:marTop w:val="0"/>
      <w:marBottom w:val="0"/>
      <w:divBdr>
        <w:top w:val="none" w:sz="0" w:space="0" w:color="auto"/>
        <w:left w:val="none" w:sz="0" w:space="0" w:color="auto"/>
        <w:bottom w:val="none" w:sz="0" w:space="0" w:color="auto"/>
        <w:right w:val="none" w:sz="0" w:space="0" w:color="auto"/>
      </w:divBdr>
    </w:div>
    <w:div w:id="1619406182">
      <w:bodyDiv w:val="1"/>
      <w:marLeft w:val="0"/>
      <w:marRight w:val="0"/>
      <w:marTop w:val="0"/>
      <w:marBottom w:val="0"/>
      <w:divBdr>
        <w:top w:val="none" w:sz="0" w:space="0" w:color="auto"/>
        <w:left w:val="none" w:sz="0" w:space="0" w:color="auto"/>
        <w:bottom w:val="none" w:sz="0" w:space="0" w:color="auto"/>
        <w:right w:val="none" w:sz="0" w:space="0" w:color="auto"/>
      </w:divBdr>
    </w:div>
    <w:div w:id="1645813865">
      <w:bodyDiv w:val="1"/>
      <w:marLeft w:val="0"/>
      <w:marRight w:val="0"/>
      <w:marTop w:val="0"/>
      <w:marBottom w:val="0"/>
      <w:divBdr>
        <w:top w:val="none" w:sz="0" w:space="0" w:color="auto"/>
        <w:left w:val="none" w:sz="0" w:space="0" w:color="auto"/>
        <w:bottom w:val="none" w:sz="0" w:space="0" w:color="auto"/>
        <w:right w:val="none" w:sz="0" w:space="0" w:color="auto"/>
      </w:divBdr>
    </w:div>
    <w:div w:id="1659377813">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 w:id="1777208776">
      <w:bodyDiv w:val="1"/>
      <w:marLeft w:val="0"/>
      <w:marRight w:val="0"/>
      <w:marTop w:val="0"/>
      <w:marBottom w:val="0"/>
      <w:divBdr>
        <w:top w:val="none" w:sz="0" w:space="0" w:color="auto"/>
        <w:left w:val="none" w:sz="0" w:space="0" w:color="auto"/>
        <w:bottom w:val="none" w:sz="0" w:space="0" w:color="auto"/>
        <w:right w:val="none" w:sz="0" w:space="0" w:color="auto"/>
      </w:divBdr>
    </w:div>
    <w:div w:id="1781756942">
      <w:bodyDiv w:val="1"/>
      <w:marLeft w:val="0"/>
      <w:marRight w:val="0"/>
      <w:marTop w:val="0"/>
      <w:marBottom w:val="0"/>
      <w:divBdr>
        <w:top w:val="none" w:sz="0" w:space="0" w:color="auto"/>
        <w:left w:val="none" w:sz="0" w:space="0" w:color="auto"/>
        <w:bottom w:val="none" w:sz="0" w:space="0" w:color="auto"/>
        <w:right w:val="none" w:sz="0" w:space="0" w:color="auto"/>
      </w:divBdr>
    </w:div>
    <w:div w:id="1814906653">
      <w:bodyDiv w:val="1"/>
      <w:marLeft w:val="0"/>
      <w:marRight w:val="0"/>
      <w:marTop w:val="0"/>
      <w:marBottom w:val="0"/>
      <w:divBdr>
        <w:top w:val="none" w:sz="0" w:space="0" w:color="auto"/>
        <w:left w:val="none" w:sz="0" w:space="0" w:color="auto"/>
        <w:bottom w:val="none" w:sz="0" w:space="0" w:color="auto"/>
        <w:right w:val="none" w:sz="0" w:space="0" w:color="auto"/>
      </w:divBdr>
    </w:div>
    <w:div w:id="1890724924">
      <w:bodyDiv w:val="1"/>
      <w:marLeft w:val="0"/>
      <w:marRight w:val="0"/>
      <w:marTop w:val="0"/>
      <w:marBottom w:val="0"/>
      <w:divBdr>
        <w:top w:val="none" w:sz="0" w:space="0" w:color="auto"/>
        <w:left w:val="none" w:sz="0" w:space="0" w:color="auto"/>
        <w:bottom w:val="none" w:sz="0" w:space="0" w:color="auto"/>
        <w:right w:val="none" w:sz="0" w:space="0" w:color="auto"/>
      </w:divBdr>
    </w:div>
    <w:div w:id="1919123233">
      <w:bodyDiv w:val="1"/>
      <w:marLeft w:val="0"/>
      <w:marRight w:val="0"/>
      <w:marTop w:val="0"/>
      <w:marBottom w:val="0"/>
      <w:divBdr>
        <w:top w:val="none" w:sz="0" w:space="0" w:color="auto"/>
        <w:left w:val="none" w:sz="0" w:space="0" w:color="auto"/>
        <w:bottom w:val="none" w:sz="0" w:space="0" w:color="auto"/>
        <w:right w:val="none" w:sz="0" w:space="0" w:color="auto"/>
      </w:divBdr>
    </w:div>
    <w:div w:id="2136173547">
      <w:bodyDiv w:val="1"/>
      <w:marLeft w:val="0"/>
      <w:marRight w:val="0"/>
      <w:marTop w:val="0"/>
      <w:marBottom w:val="0"/>
      <w:divBdr>
        <w:top w:val="none" w:sz="0" w:space="0" w:color="auto"/>
        <w:left w:val="none" w:sz="0" w:space="0" w:color="auto"/>
        <w:bottom w:val="none" w:sz="0" w:space="0" w:color="auto"/>
        <w:right w:val="none" w:sz="0" w:space="0" w:color="auto"/>
      </w:divBdr>
    </w:div>
    <w:div w:id="21389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CE6FD-9714-44BF-A320-90CDD94B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jiahao loh</cp:lastModifiedBy>
  <cp:revision>2</cp:revision>
  <cp:lastPrinted>2020-12-14T03:46:00Z</cp:lastPrinted>
  <dcterms:created xsi:type="dcterms:W3CDTF">2023-10-24T07:10:00Z</dcterms:created>
  <dcterms:modified xsi:type="dcterms:W3CDTF">2023-10-24T07:10:00Z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LAW_Jia_Hao@mlaw.gov.sg</vt:lpwstr>
  </property>
  <property fmtid="{D5CDD505-2E9C-101B-9397-08002B2CF9AE}" pid="5" name="MSIP_Label_3f9331f7-95a2-472a-92bc-d73219eb516b_SetDate">
    <vt:lpwstr>2020-01-15T07:57:04.9117399Z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1d3f4176-65bc-4209-8ce5-b4bf94997534</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LAW_Jia_Hao@mlaw.gov.sg</vt:lpwstr>
  </property>
  <property fmtid="{D5CDD505-2E9C-101B-9397-08002B2CF9AE}" pid="13" name="MSIP_Label_4f288355-fb4c-44cd-b9ca-40cfc2aee5f8_SetDate">
    <vt:lpwstr>2020-01-15T07:57:04.9117399Z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1d3f4176-65bc-4209-8ce5-b4bf94997534</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