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99D" w:rsidRPr="007523D9" w:rsidRDefault="008B599D" w:rsidP="008B599D">
      <w:pPr>
        <w:spacing w:after="0" w:line="240" w:lineRule="auto"/>
        <w:jc w:val="center"/>
        <w:rPr>
          <w:b/>
          <w:sz w:val="24"/>
          <w:szCs w:val="24"/>
          <w:u w:val="single"/>
          <w:lang w:val="en-GB"/>
        </w:rPr>
      </w:pPr>
      <w:r w:rsidRPr="007523D9">
        <w:rPr>
          <w:b/>
          <w:sz w:val="24"/>
          <w:szCs w:val="24"/>
          <w:u w:val="single"/>
          <w:lang w:val="en-GB"/>
        </w:rPr>
        <w:t xml:space="preserve">Measures relating to </w:t>
      </w:r>
      <w:r>
        <w:rPr>
          <w:b/>
          <w:sz w:val="24"/>
          <w:szCs w:val="24"/>
          <w:u w:val="single"/>
          <w:lang w:val="en-GB"/>
        </w:rPr>
        <w:t>prevention of terrorism financing</w:t>
      </w:r>
    </w:p>
    <w:p w:rsidR="008B599D" w:rsidRDefault="008B599D" w:rsidP="00A145B7">
      <w:pPr>
        <w:spacing w:after="0" w:line="240" w:lineRule="auto"/>
        <w:jc w:val="both"/>
        <w:rPr>
          <w:sz w:val="24"/>
          <w:szCs w:val="24"/>
          <w:lang w:val="en-GB"/>
        </w:rPr>
      </w:pPr>
    </w:p>
    <w:p w:rsidR="008B599D" w:rsidRDefault="008B599D" w:rsidP="00A145B7">
      <w:pPr>
        <w:spacing w:after="0" w:line="240" w:lineRule="auto"/>
        <w:jc w:val="both"/>
        <w:rPr>
          <w:sz w:val="24"/>
          <w:szCs w:val="24"/>
          <w:lang w:val="en-US"/>
        </w:rPr>
      </w:pPr>
      <w:r>
        <w:rPr>
          <w:sz w:val="24"/>
          <w:szCs w:val="24"/>
          <w:lang w:val="en-GB"/>
        </w:rPr>
        <w:t>1</w:t>
      </w:r>
      <w:r w:rsidR="00A145B7">
        <w:rPr>
          <w:sz w:val="24"/>
          <w:szCs w:val="24"/>
          <w:lang w:val="en-GB"/>
        </w:rPr>
        <w:tab/>
      </w:r>
      <w:r>
        <w:rPr>
          <w:sz w:val="24"/>
          <w:szCs w:val="24"/>
          <w:lang w:val="en-GB"/>
        </w:rPr>
        <w:t xml:space="preserve">This note sets out your key obligations pursuant to the Terrorism (Suppression of Financing) Act (“TSOFA”).  </w:t>
      </w:r>
      <w:r>
        <w:rPr>
          <w:sz w:val="24"/>
          <w:szCs w:val="24"/>
          <w:lang w:val="en-US"/>
        </w:rPr>
        <w:t>The full texts of the TSOFA, are available at Singapore Statutes Online</w:t>
      </w:r>
      <w:r>
        <w:rPr>
          <w:rStyle w:val="Hyperlink"/>
          <w:sz w:val="24"/>
          <w:szCs w:val="24"/>
          <w:u w:val="none"/>
          <w:lang w:val="en-US"/>
        </w:rPr>
        <w:t xml:space="preserve"> </w:t>
      </w:r>
      <w:r>
        <w:rPr>
          <w:rStyle w:val="Hyperlink"/>
          <w:color w:val="auto"/>
          <w:sz w:val="24"/>
          <w:szCs w:val="24"/>
          <w:lang w:val="en-US"/>
        </w:rPr>
        <w:t>(</w:t>
      </w:r>
      <w:hyperlink r:id="rId8" w:history="1">
        <w:r>
          <w:rPr>
            <w:rStyle w:val="Hyperlink"/>
            <w:sz w:val="24"/>
            <w:szCs w:val="24"/>
            <w:lang w:val="en-US"/>
          </w:rPr>
          <w:t>https://sso.agc.gov.sg/Act/TSFA2002</w:t>
        </w:r>
      </w:hyperlink>
      <w:r>
        <w:rPr>
          <w:rStyle w:val="Hyperlink"/>
          <w:color w:val="auto"/>
          <w:sz w:val="24"/>
          <w:szCs w:val="24"/>
          <w:lang w:val="en-US"/>
        </w:rPr>
        <w:t>)</w:t>
      </w:r>
      <w:r>
        <w:rPr>
          <w:sz w:val="24"/>
          <w:szCs w:val="24"/>
          <w:lang w:val="en-US"/>
        </w:rPr>
        <w:t xml:space="preserve">.  </w:t>
      </w:r>
    </w:p>
    <w:p w:rsidR="008B599D" w:rsidRDefault="008B599D" w:rsidP="00A145B7">
      <w:pPr>
        <w:spacing w:after="0" w:line="240" w:lineRule="auto"/>
        <w:jc w:val="both"/>
        <w:rPr>
          <w:sz w:val="24"/>
          <w:szCs w:val="24"/>
          <w:lang w:val="en-GB"/>
        </w:rPr>
      </w:pPr>
    </w:p>
    <w:p w:rsidR="008B599D" w:rsidRDefault="008B599D" w:rsidP="00A145B7">
      <w:pPr>
        <w:spacing w:after="0" w:line="240" w:lineRule="auto"/>
        <w:jc w:val="both"/>
        <w:rPr>
          <w:sz w:val="24"/>
          <w:szCs w:val="24"/>
          <w:lang w:val="en-GB"/>
        </w:rPr>
      </w:pPr>
      <w:r>
        <w:rPr>
          <w:sz w:val="24"/>
          <w:szCs w:val="24"/>
          <w:lang w:val="en-GB"/>
        </w:rPr>
        <w:t>2</w:t>
      </w:r>
      <w:r w:rsidR="00A145B7">
        <w:rPr>
          <w:sz w:val="24"/>
          <w:szCs w:val="24"/>
          <w:lang w:val="en-GB"/>
        </w:rPr>
        <w:tab/>
      </w:r>
      <w:r>
        <w:rPr>
          <w:sz w:val="24"/>
          <w:szCs w:val="24"/>
          <w:lang w:val="en-GB"/>
        </w:rPr>
        <w:t>The TSOFA defines a terrorist as anyone who commits, or attempts to commit, any terrorist act or participates in or facilitates the commission of any terrorist act. It also includes any persons set out in the First Schedule of the TSOFA, which may be updated from time to time</w:t>
      </w:r>
      <w:r>
        <w:rPr>
          <w:b/>
          <w:bCs/>
          <w:sz w:val="24"/>
          <w:szCs w:val="24"/>
          <w:lang w:val="en-GB"/>
        </w:rPr>
        <w:t>.</w:t>
      </w:r>
      <w:r>
        <w:rPr>
          <w:sz w:val="24"/>
          <w:szCs w:val="24"/>
          <w:lang w:val="en-GB"/>
        </w:rPr>
        <w:t xml:space="preserve"> </w:t>
      </w:r>
    </w:p>
    <w:p w:rsidR="008B599D" w:rsidRDefault="008B599D" w:rsidP="00A145B7">
      <w:pPr>
        <w:spacing w:after="0" w:line="240" w:lineRule="auto"/>
        <w:jc w:val="both"/>
        <w:rPr>
          <w:sz w:val="24"/>
          <w:szCs w:val="24"/>
          <w:lang w:val="en-GB"/>
        </w:rPr>
      </w:pPr>
    </w:p>
    <w:p w:rsidR="008B599D" w:rsidRDefault="008B599D" w:rsidP="00A145B7">
      <w:pPr>
        <w:spacing w:after="0" w:line="240" w:lineRule="auto"/>
        <w:jc w:val="both"/>
        <w:rPr>
          <w:sz w:val="24"/>
          <w:szCs w:val="24"/>
          <w:lang w:val="en-GB"/>
        </w:rPr>
      </w:pPr>
      <w:r>
        <w:rPr>
          <w:sz w:val="24"/>
          <w:szCs w:val="24"/>
          <w:lang w:val="en-GB"/>
        </w:rPr>
        <w:t>3</w:t>
      </w:r>
      <w:r w:rsidR="00A145B7">
        <w:rPr>
          <w:sz w:val="24"/>
          <w:szCs w:val="24"/>
          <w:lang w:val="en-GB"/>
        </w:rPr>
        <w:tab/>
      </w:r>
      <w:r>
        <w:rPr>
          <w:sz w:val="24"/>
          <w:szCs w:val="24"/>
          <w:lang w:val="en-GB"/>
        </w:rPr>
        <w:t xml:space="preserve">The TSOFA </w:t>
      </w:r>
      <w:r>
        <w:rPr>
          <w:b/>
          <w:bCs/>
          <w:sz w:val="24"/>
          <w:szCs w:val="24"/>
          <w:u w:val="single"/>
          <w:lang w:val="en-GB"/>
        </w:rPr>
        <w:t>prohibits all natural and legal persons within Singapore and Singapore citizens outside of Singapore from</w:t>
      </w:r>
      <w:r>
        <w:rPr>
          <w:sz w:val="24"/>
          <w:szCs w:val="24"/>
          <w:lang w:val="en-GB"/>
        </w:rPr>
        <w:t>:</w:t>
      </w:r>
    </w:p>
    <w:p w:rsidR="008B599D" w:rsidRDefault="008B599D" w:rsidP="00A145B7">
      <w:pPr>
        <w:spacing w:after="0" w:line="240" w:lineRule="auto"/>
        <w:jc w:val="both"/>
        <w:rPr>
          <w:sz w:val="24"/>
          <w:szCs w:val="24"/>
          <w:lang w:val="en-GB"/>
        </w:rPr>
      </w:pPr>
    </w:p>
    <w:p w:rsidR="008B599D" w:rsidRPr="00A145B7" w:rsidRDefault="008B599D" w:rsidP="00A145B7">
      <w:pPr>
        <w:numPr>
          <w:ilvl w:val="0"/>
          <w:numId w:val="1"/>
        </w:numPr>
        <w:spacing w:after="0" w:line="240" w:lineRule="auto"/>
        <w:ind w:left="1134" w:hanging="425"/>
        <w:jc w:val="both"/>
        <w:rPr>
          <w:rFonts w:eastAsia="Times New Roman"/>
          <w:sz w:val="24"/>
          <w:szCs w:val="24"/>
        </w:rPr>
      </w:pPr>
      <w:r w:rsidRPr="00A145B7">
        <w:rPr>
          <w:rFonts w:eastAsia="Times New Roman"/>
          <w:sz w:val="24"/>
          <w:szCs w:val="24"/>
        </w:rPr>
        <w:t>providing or collecting property for terrorist acts;</w:t>
      </w:r>
    </w:p>
    <w:p w:rsidR="008B599D" w:rsidRPr="00A145B7" w:rsidRDefault="008B599D" w:rsidP="00A145B7">
      <w:pPr>
        <w:numPr>
          <w:ilvl w:val="0"/>
          <w:numId w:val="1"/>
        </w:numPr>
        <w:spacing w:after="0" w:line="240" w:lineRule="auto"/>
        <w:ind w:left="1134" w:hanging="425"/>
        <w:jc w:val="both"/>
        <w:rPr>
          <w:rFonts w:eastAsia="Times New Roman"/>
          <w:sz w:val="24"/>
          <w:szCs w:val="24"/>
        </w:rPr>
      </w:pPr>
      <w:r w:rsidRPr="00A145B7">
        <w:rPr>
          <w:rFonts w:eastAsia="Times New Roman"/>
          <w:sz w:val="24"/>
          <w:szCs w:val="24"/>
        </w:rPr>
        <w:t>providing property or financial or other related services for terrorist purposes;</w:t>
      </w:r>
    </w:p>
    <w:p w:rsidR="008B599D" w:rsidRPr="00A145B7" w:rsidRDefault="008B599D" w:rsidP="00A145B7">
      <w:pPr>
        <w:numPr>
          <w:ilvl w:val="0"/>
          <w:numId w:val="1"/>
        </w:numPr>
        <w:spacing w:after="0" w:line="240" w:lineRule="auto"/>
        <w:ind w:left="1134" w:hanging="425"/>
        <w:jc w:val="both"/>
        <w:rPr>
          <w:rFonts w:eastAsia="Times New Roman"/>
          <w:sz w:val="24"/>
          <w:szCs w:val="24"/>
        </w:rPr>
      </w:pPr>
      <w:r w:rsidRPr="00A145B7">
        <w:rPr>
          <w:rFonts w:eastAsia="Times New Roman"/>
          <w:sz w:val="24"/>
          <w:szCs w:val="24"/>
        </w:rPr>
        <w:t>using or possessing property for terrorist purposes; and</w:t>
      </w:r>
    </w:p>
    <w:p w:rsidR="008B599D" w:rsidRPr="00A145B7" w:rsidRDefault="008B599D" w:rsidP="00A145B7">
      <w:pPr>
        <w:numPr>
          <w:ilvl w:val="0"/>
          <w:numId w:val="1"/>
        </w:numPr>
        <w:spacing w:after="0" w:line="240" w:lineRule="auto"/>
        <w:ind w:left="1134" w:hanging="425"/>
        <w:jc w:val="both"/>
        <w:rPr>
          <w:rFonts w:eastAsia="Times New Roman"/>
          <w:sz w:val="24"/>
          <w:szCs w:val="24"/>
        </w:rPr>
      </w:pPr>
      <w:proofErr w:type="gramStart"/>
      <w:r w:rsidRPr="00A145B7">
        <w:rPr>
          <w:rFonts w:eastAsia="Times New Roman"/>
          <w:sz w:val="24"/>
          <w:szCs w:val="24"/>
        </w:rPr>
        <w:t>dealing</w:t>
      </w:r>
      <w:proofErr w:type="gramEnd"/>
      <w:r w:rsidRPr="00A145B7">
        <w:rPr>
          <w:rFonts w:eastAsia="Times New Roman"/>
          <w:sz w:val="24"/>
          <w:szCs w:val="24"/>
        </w:rPr>
        <w:t xml:space="preserve"> with property of terrorists, including funds derived or generated from the property.</w:t>
      </w:r>
    </w:p>
    <w:p w:rsidR="008B599D" w:rsidRDefault="008B599D" w:rsidP="00A145B7">
      <w:pPr>
        <w:spacing w:after="0" w:line="240" w:lineRule="auto"/>
        <w:jc w:val="both"/>
      </w:pPr>
    </w:p>
    <w:p w:rsidR="008B599D" w:rsidRDefault="008B599D" w:rsidP="00A145B7">
      <w:pPr>
        <w:spacing w:after="0" w:line="240" w:lineRule="auto"/>
        <w:jc w:val="both"/>
        <w:rPr>
          <w:sz w:val="24"/>
          <w:szCs w:val="24"/>
        </w:rPr>
      </w:pPr>
      <w:r>
        <w:rPr>
          <w:sz w:val="24"/>
          <w:szCs w:val="24"/>
        </w:rPr>
        <w:t>4</w:t>
      </w:r>
      <w:r w:rsidR="00A145B7">
        <w:rPr>
          <w:sz w:val="24"/>
          <w:szCs w:val="24"/>
        </w:rPr>
        <w:tab/>
      </w:r>
      <w:r>
        <w:rPr>
          <w:sz w:val="24"/>
          <w:szCs w:val="24"/>
        </w:rPr>
        <w:t xml:space="preserve">Your obligations, under the TSOFA, include the following:  </w:t>
      </w:r>
    </w:p>
    <w:p w:rsidR="00A145B7" w:rsidRDefault="00A145B7" w:rsidP="00A145B7">
      <w:pPr>
        <w:spacing w:after="0" w:line="240" w:lineRule="auto"/>
        <w:jc w:val="both"/>
        <w:rPr>
          <w:sz w:val="24"/>
          <w:szCs w:val="24"/>
        </w:rPr>
      </w:pPr>
    </w:p>
    <w:p w:rsidR="008B599D" w:rsidRDefault="008B599D" w:rsidP="00A145B7">
      <w:pPr>
        <w:numPr>
          <w:ilvl w:val="0"/>
          <w:numId w:val="4"/>
        </w:numPr>
        <w:spacing w:after="0" w:line="240" w:lineRule="auto"/>
        <w:ind w:left="1134" w:hanging="425"/>
        <w:jc w:val="both"/>
        <w:rPr>
          <w:rFonts w:eastAsia="Times New Roman"/>
          <w:sz w:val="24"/>
          <w:szCs w:val="24"/>
        </w:rPr>
      </w:pPr>
      <w:r>
        <w:rPr>
          <w:rFonts w:eastAsia="Times New Roman"/>
          <w:sz w:val="24"/>
          <w:szCs w:val="24"/>
        </w:rPr>
        <w:t xml:space="preserve">Unless an Exemption Order, under Section 7 of the TSOFA, is obtained, you </w:t>
      </w:r>
      <w:r w:rsidRPr="00A145B7">
        <w:rPr>
          <w:rFonts w:eastAsia="Times New Roman"/>
          <w:b/>
          <w:sz w:val="24"/>
          <w:szCs w:val="24"/>
          <w:u w:val="single"/>
        </w:rPr>
        <w:t>must not deal with any terrorists;</w:t>
      </w:r>
      <w:r>
        <w:rPr>
          <w:rFonts w:eastAsia="Times New Roman"/>
          <w:sz w:val="24"/>
          <w:szCs w:val="24"/>
        </w:rPr>
        <w:t xml:space="preserve">  </w:t>
      </w:r>
    </w:p>
    <w:p w:rsidR="008B599D" w:rsidRDefault="008B599D" w:rsidP="00A145B7">
      <w:pPr>
        <w:numPr>
          <w:ilvl w:val="0"/>
          <w:numId w:val="4"/>
        </w:numPr>
        <w:spacing w:after="0" w:line="240" w:lineRule="auto"/>
        <w:ind w:left="1134" w:hanging="425"/>
        <w:jc w:val="both"/>
        <w:rPr>
          <w:rFonts w:eastAsia="Times New Roman"/>
          <w:sz w:val="24"/>
          <w:szCs w:val="24"/>
        </w:rPr>
      </w:pPr>
      <w:r>
        <w:rPr>
          <w:rFonts w:eastAsia="Times New Roman"/>
          <w:sz w:val="24"/>
          <w:szCs w:val="24"/>
        </w:rPr>
        <w:t>You should review existing business relations for persons who are defined as terrorists in the TSOFA;</w:t>
      </w:r>
    </w:p>
    <w:p w:rsidR="008B599D" w:rsidRDefault="008B599D" w:rsidP="00A145B7">
      <w:pPr>
        <w:numPr>
          <w:ilvl w:val="0"/>
          <w:numId w:val="4"/>
        </w:numPr>
        <w:spacing w:after="0" w:line="240" w:lineRule="auto"/>
        <w:ind w:left="1134" w:hanging="425"/>
        <w:jc w:val="both"/>
        <w:rPr>
          <w:rFonts w:eastAsia="Times New Roman"/>
          <w:sz w:val="24"/>
          <w:szCs w:val="24"/>
        </w:rPr>
      </w:pPr>
      <w:r>
        <w:rPr>
          <w:rFonts w:eastAsia="Times New Roman"/>
          <w:sz w:val="24"/>
          <w:szCs w:val="24"/>
        </w:rPr>
        <w:t>You must also immediately freeze any assets/accounts related to persons who are defined as terrorists in the TSOFA, where applicable; and</w:t>
      </w:r>
    </w:p>
    <w:p w:rsidR="008B599D" w:rsidRDefault="008B599D" w:rsidP="00A145B7">
      <w:pPr>
        <w:numPr>
          <w:ilvl w:val="0"/>
          <w:numId w:val="4"/>
        </w:numPr>
        <w:spacing w:after="0" w:line="240" w:lineRule="auto"/>
        <w:ind w:left="1134" w:hanging="425"/>
        <w:jc w:val="both"/>
        <w:rPr>
          <w:rFonts w:eastAsia="Times New Roman"/>
          <w:sz w:val="24"/>
          <w:szCs w:val="24"/>
        </w:rPr>
      </w:pPr>
      <w:r>
        <w:rPr>
          <w:rFonts w:eastAsia="Times New Roman"/>
          <w:sz w:val="24"/>
          <w:szCs w:val="24"/>
        </w:rPr>
        <w:t xml:space="preserve">You must disclose any information about assets, accounts or transactions related to a terrorist to the Commissioner of Police. This can be done by filing a suspicious transaction report (“STR”) with the Suspicious Transaction Reporting Office (“STRO”) of the Commercial Affairs Department. </w:t>
      </w:r>
    </w:p>
    <w:p w:rsidR="008B599D" w:rsidRDefault="008B599D" w:rsidP="00A145B7">
      <w:pPr>
        <w:spacing w:after="0" w:line="240" w:lineRule="auto"/>
        <w:jc w:val="both"/>
        <w:rPr>
          <w:sz w:val="24"/>
          <w:szCs w:val="24"/>
        </w:rPr>
      </w:pPr>
    </w:p>
    <w:p w:rsidR="008B599D" w:rsidRDefault="008B599D" w:rsidP="00A145B7">
      <w:pPr>
        <w:spacing w:after="0" w:line="240" w:lineRule="auto"/>
        <w:jc w:val="both"/>
        <w:rPr>
          <w:sz w:val="24"/>
          <w:szCs w:val="24"/>
        </w:rPr>
      </w:pPr>
      <w:r>
        <w:rPr>
          <w:sz w:val="24"/>
          <w:szCs w:val="24"/>
        </w:rPr>
        <w:t>5</w:t>
      </w:r>
      <w:r w:rsidR="00A145B7">
        <w:rPr>
          <w:sz w:val="24"/>
          <w:szCs w:val="24"/>
        </w:rPr>
        <w:tab/>
      </w:r>
      <w:r>
        <w:rPr>
          <w:sz w:val="24"/>
          <w:szCs w:val="24"/>
        </w:rPr>
        <w:t>Persons who breach the TSOFA requirements will be liable, upon conviction, to a maximum fine of $500,000, and/or term of imprisonment up to 10 years.</w:t>
      </w:r>
    </w:p>
    <w:p w:rsidR="008B599D" w:rsidRDefault="008B599D" w:rsidP="00A145B7">
      <w:pPr>
        <w:spacing w:after="0" w:line="240" w:lineRule="auto"/>
        <w:jc w:val="both"/>
        <w:rPr>
          <w:sz w:val="24"/>
          <w:szCs w:val="24"/>
          <w:lang w:eastAsia="en-SG"/>
        </w:rPr>
      </w:pPr>
    </w:p>
    <w:p w:rsidR="008B599D" w:rsidRPr="000050F3" w:rsidRDefault="00A145B7" w:rsidP="00A145B7">
      <w:pPr>
        <w:spacing w:after="0" w:line="240" w:lineRule="auto"/>
        <w:jc w:val="both"/>
      </w:pPr>
      <w:r>
        <w:rPr>
          <w:sz w:val="24"/>
          <w:szCs w:val="24"/>
          <w:lang w:val="en-GB"/>
        </w:rPr>
        <w:t>6</w:t>
      </w:r>
      <w:r>
        <w:rPr>
          <w:sz w:val="24"/>
          <w:szCs w:val="24"/>
          <w:lang w:val="en-GB"/>
        </w:rPr>
        <w:tab/>
      </w:r>
      <w:r w:rsidR="008B599D">
        <w:rPr>
          <w:sz w:val="24"/>
          <w:szCs w:val="24"/>
          <w:lang w:val="en-GB"/>
        </w:rPr>
        <w:t>For more information on terrorist designations and de-listings, you may refer to Singapore’s</w:t>
      </w:r>
      <w:r w:rsidR="008B599D">
        <w:rPr>
          <w:sz w:val="24"/>
          <w:szCs w:val="24"/>
        </w:rPr>
        <w:t xml:space="preserve"> Inter-Ministerial Committee on Terrorist Designation’s (IMC-TD</w:t>
      </w:r>
      <w:proofErr w:type="gramStart"/>
      <w:r w:rsidR="008B599D">
        <w:rPr>
          <w:sz w:val="24"/>
          <w:szCs w:val="24"/>
        </w:rPr>
        <w:t>)</w:t>
      </w:r>
      <w:r w:rsidR="008B599D">
        <w:rPr>
          <w:sz w:val="24"/>
          <w:szCs w:val="24"/>
          <w:vertAlign w:val="superscript"/>
          <w:lang w:val="en-GB"/>
        </w:rPr>
        <w:footnoteReference w:customMarkFollows="1" w:id="1"/>
        <w:t>[</w:t>
      </w:r>
      <w:proofErr w:type="gramEnd"/>
      <w:r w:rsidR="008B599D">
        <w:rPr>
          <w:sz w:val="24"/>
          <w:szCs w:val="24"/>
          <w:vertAlign w:val="superscript"/>
          <w:lang w:val="en-GB"/>
        </w:rPr>
        <w:t>1]</w:t>
      </w:r>
      <w:r w:rsidR="008B599D">
        <w:rPr>
          <w:sz w:val="24"/>
          <w:szCs w:val="24"/>
        </w:rPr>
        <w:t xml:space="preserve"> webpage (</w:t>
      </w:r>
      <w:hyperlink r:id="rId9" w:history="1">
        <w:r w:rsidR="000050F3" w:rsidRPr="00695212">
          <w:rPr>
            <w:rStyle w:val="Hyperlink"/>
          </w:rPr>
          <w:t>https://www.mha.gov.sg/what-we-do/managing-security-threats/co</w:t>
        </w:r>
        <w:bookmarkStart w:id="0" w:name="_GoBack"/>
        <w:bookmarkEnd w:id="0"/>
        <w:r w:rsidR="000050F3" w:rsidRPr="00695212">
          <w:rPr>
            <w:rStyle w:val="Hyperlink"/>
          </w:rPr>
          <w:t>u</w:t>
        </w:r>
        <w:r w:rsidR="000050F3" w:rsidRPr="00695212">
          <w:rPr>
            <w:rStyle w:val="Hyperlink"/>
          </w:rPr>
          <w:t>ntering-the-financing-of-terrorism</w:t>
        </w:r>
      </w:hyperlink>
      <w:r w:rsidR="000050F3">
        <w:t>)</w:t>
      </w:r>
      <w:r w:rsidR="008B599D">
        <w:rPr>
          <w:sz w:val="24"/>
          <w:szCs w:val="24"/>
          <w:lang w:val="en-GB"/>
        </w:rPr>
        <w:t>.</w:t>
      </w:r>
    </w:p>
    <w:sectPr w:rsidR="008B599D" w:rsidRPr="000050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0E3" w:rsidRDefault="00E260E3" w:rsidP="008B599D">
      <w:pPr>
        <w:spacing w:after="0" w:line="240" w:lineRule="auto"/>
      </w:pPr>
      <w:r>
        <w:separator/>
      </w:r>
    </w:p>
  </w:endnote>
  <w:endnote w:type="continuationSeparator" w:id="0">
    <w:p w:rsidR="00E260E3" w:rsidRDefault="00E260E3" w:rsidP="008B5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SimSun"/>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0E3" w:rsidRDefault="00E260E3" w:rsidP="008B599D">
      <w:pPr>
        <w:spacing w:after="0" w:line="240" w:lineRule="auto"/>
      </w:pPr>
      <w:r>
        <w:separator/>
      </w:r>
    </w:p>
  </w:footnote>
  <w:footnote w:type="continuationSeparator" w:id="0">
    <w:p w:rsidR="00E260E3" w:rsidRDefault="00E260E3" w:rsidP="008B599D">
      <w:pPr>
        <w:spacing w:after="0" w:line="240" w:lineRule="auto"/>
      </w:pPr>
      <w:r>
        <w:continuationSeparator/>
      </w:r>
    </w:p>
  </w:footnote>
  <w:footnote w:id="1">
    <w:p w:rsidR="008B599D" w:rsidRDefault="008B599D" w:rsidP="008B599D">
      <w:pPr>
        <w:spacing w:after="0" w:line="240" w:lineRule="auto"/>
        <w:rPr>
          <w:rFonts w:cstheme="minorHAnsi"/>
          <w:szCs w:val="24"/>
        </w:rPr>
      </w:pPr>
      <w:r w:rsidRPr="007523D9">
        <w:rPr>
          <w:rStyle w:val="FootnoteReference"/>
          <w:sz w:val="20"/>
          <w:szCs w:val="20"/>
        </w:rPr>
        <w:t>[1]</w:t>
      </w:r>
      <w:r w:rsidRPr="007523D9">
        <w:rPr>
          <w:sz w:val="20"/>
          <w:szCs w:val="20"/>
        </w:rPr>
        <w:t xml:space="preserve"> </w:t>
      </w:r>
      <w:r w:rsidRPr="00AE57C1">
        <w:rPr>
          <w:rFonts w:cstheme="minorHAnsi"/>
          <w:szCs w:val="24"/>
        </w:rPr>
        <w:t>The Inter-Ministry Committee on Terrorist Designation (IMC-TD) acts as Singapore's authority relating to the designation of terrorists. Formed in 2012, this Committee consists of members from the Ministry of Home Affairs, Commercial Affairs Department/Singapore Police Force, Ministry of Foreign Affairs, Monetary Authority of Singapore, and Attorney-General's Chambers.</w:t>
      </w:r>
    </w:p>
    <w:p w:rsidR="008B599D" w:rsidRPr="008B599D" w:rsidRDefault="008B599D" w:rsidP="008B599D">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D26B3"/>
    <w:multiLevelType w:val="hybridMultilevel"/>
    <w:tmpl w:val="B0AC5D96"/>
    <w:lvl w:ilvl="0" w:tplc="4809001B">
      <w:start w:val="1"/>
      <w:numFmt w:val="lowerRoman"/>
      <w:lvlText w:val="%1."/>
      <w:lvlJc w:val="righ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nsid w:val="235654FF"/>
    <w:multiLevelType w:val="hybridMultilevel"/>
    <w:tmpl w:val="3AD6A4FA"/>
    <w:lvl w:ilvl="0" w:tplc="4809001B">
      <w:start w:val="1"/>
      <w:numFmt w:val="lowerRoman"/>
      <w:lvlText w:val="%1."/>
      <w:lvlJc w:val="right"/>
      <w:pPr>
        <w:ind w:left="-2814" w:hanging="360"/>
      </w:pPr>
      <w:rPr>
        <w:rFonts w:cs="Times New Roman"/>
      </w:rPr>
    </w:lvl>
    <w:lvl w:ilvl="1" w:tplc="48090019">
      <w:start w:val="1"/>
      <w:numFmt w:val="lowerLetter"/>
      <w:lvlText w:val="%2."/>
      <w:lvlJc w:val="left"/>
      <w:pPr>
        <w:ind w:left="-2094" w:hanging="360"/>
      </w:pPr>
      <w:rPr>
        <w:rFonts w:cs="Times New Roman"/>
      </w:rPr>
    </w:lvl>
    <w:lvl w:ilvl="2" w:tplc="4809001B">
      <w:start w:val="1"/>
      <w:numFmt w:val="lowerRoman"/>
      <w:lvlText w:val="%3."/>
      <w:lvlJc w:val="right"/>
      <w:pPr>
        <w:ind w:left="-1374" w:hanging="180"/>
      </w:pPr>
      <w:rPr>
        <w:rFonts w:cs="Times New Roman"/>
      </w:rPr>
    </w:lvl>
    <w:lvl w:ilvl="3" w:tplc="4809000F">
      <w:start w:val="1"/>
      <w:numFmt w:val="decimal"/>
      <w:lvlText w:val="%4."/>
      <w:lvlJc w:val="left"/>
      <w:pPr>
        <w:ind w:left="-654" w:hanging="360"/>
      </w:pPr>
      <w:rPr>
        <w:rFonts w:cs="Times New Roman"/>
      </w:rPr>
    </w:lvl>
    <w:lvl w:ilvl="4" w:tplc="48090019">
      <w:start w:val="1"/>
      <w:numFmt w:val="lowerLetter"/>
      <w:lvlText w:val="%5."/>
      <w:lvlJc w:val="left"/>
      <w:pPr>
        <w:ind w:left="66" w:hanging="360"/>
      </w:pPr>
      <w:rPr>
        <w:rFonts w:cs="Times New Roman"/>
      </w:rPr>
    </w:lvl>
    <w:lvl w:ilvl="5" w:tplc="4809001B">
      <w:start w:val="1"/>
      <w:numFmt w:val="lowerRoman"/>
      <w:lvlText w:val="%6."/>
      <w:lvlJc w:val="right"/>
      <w:pPr>
        <w:ind w:left="786" w:hanging="180"/>
      </w:pPr>
      <w:rPr>
        <w:rFonts w:cs="Times New Roman"/>
      </w:rPr>
    </w:lvl>
    <w:lvl w:ilvl="6" w:tplc="4809000F">
      <w:start w:val="1"/>
      <w:numFmt w:val="decimal"/>
      <w:lvlText w:val="%7."/>
      <w:lvlJc w:val="left"/>
      <w:pPr>
        <w:ind w:left="1506" w:hanging="360"/>
      </w:pPr>
      <w:rPr>
        <w:rFonts w:cs="Times New Roman"/>
      </w:rPr>
    </w:lvl>
    <w:lvl w:ilvl="7" w:tplc="48090019">
      <w:start w:val="1"/>
      <w:numFmt w:val="lowerLetter"/>
      <w:lvlText w:val="%8."/>
      <w:lvlJc w:val="left"/>
      <w:pPr>
        <w:ind w:left="2226" w:hanging="360"/>
      </w:pPr>
      <w:rPr>
        <w:rFonts w:cs="Times New Roman"/>
      </w:rPr>
    </w:lvl>
    <w:lvl w:ilvl="8" w:tplc="4809001B">
      <w:start w:val="1"/>
      <w:numFmt w:val="lowerRoman"/>
      <w:lvlText w:val="%9."/>
      <w:lvlJc w:val="right"/>
      <w:pPr>
        <w:ind w:left="2946" w:hanging="180"/>
      </w:pPr>
      <w:rPr>
        <w:rFonts w:cs="Times New Roman"/>
      </w:rPr>
    </w:lvl>
  </w:abstractNum>
  <w:abstractNum w:abstractNumId="2">
    <w:nsid w:val="3C9F6088"/>
    <w:multiLevelType w:val="hybridMultilevel"/>
    <w:tmpl w:val="3AD6A4FA"/>
    <w:lvl w:ilvl="0" w:tplc="4809001B">
      <w:start w:val="1"/>
      <w:numFmt w:val="lowerRoman"/>
      <w:lvlText w:val="%1."/>
      <w:lvlJc w:val="right"/>
      <w:pPr>
        <w:ind w:left="-2814" w:hanging="360"/>
      </w:pPr>
      <w:rPr>
        <w:rFonts w:cs="Times New Roman"/>
      </w:rPr>
    </w:lvl>
    <w:lvl w:ilvl="1" w:tplc="48090019">
      <w:start w:val="1"/>
      <w:numFmt w:val="lowerLetter"/>
      <w:lvlText w:val="%2."/>
      <w:lvlJc w:val="left"/>
      <w:pPr>
        <w:ind w:left="-2094" w:hanging="360"/>
      </w:pPr>
      <w:rPr>
        <w:rFonts w:cs="Times New Roman"/>
      </w:rPr>
    </w:lvl>
    <w:lvl w:ilvl="2" w:tplc="4809001B">
      <w:start w:val="1"/>
      <w:numFmt w:val="lowerRoman"/>
      <w:lvlText w:val="%3."/>
      <w:lvlJc w:val="right"/>
      <w:pPr>
        <w:ind w:left="-1374" w:hanging="180"/>
      </w:pPr>
      <w:rPr>
        <w:rFonts w:cs="Times New Roman"/>
      </w:rPr>
    </w:lvl>
    <w:lvl w:ilvl="3" w:tplc="4809000F">
      <w:start w:val="1"/>
      <w:numFmt w:val="decimal"/>
      <w:lvlText w:val="%4."/>
      <w:lvlJc w:val="left"/>
      <w:pPr>
        <w:ind w:left="-654" w:hanging="360"/>
      </w:pPr>
      <w:rPr>
        <w:rFonts w:cs="Times New Roman"/>
      </w:rPr>
    </w:lvl>
    <w:lvl w:ilvl="4" w:tplc="48090019">
      <w:start w:val="1"/>
      <w:numFmt w:val="lowerLetter"/>
      <w:lvlText w:val="%5."/>
      <w:lvlJc w:val="left"/>
      <w:pPr>
        <w:ind w:left="66" w:hanging="360"/>
      </w:pPr>
      <w:rPr>
        <w:rFonts w:cs="Times New Roman"/>
      </w:rPr>
    </w:lvl>
    <w:lvl w:ilvl="5" w:tplc="4809001B">
      <w:start w:val="1"/>
      <w:numFmt w:val="lowerRoman"/>
      <w:lvlText w:val="%6."/>
      <w:lvlJc w:val="right"/>
      <w:pPr>
        <w:ind w:left="786" w:hanging="180"/>
      </w:pPr>
      <w:rPr>
        <w:rFonts w:cs="Times New Roman"/>
      </w:rPr>
    </w:lvl>
    <w:lvl w:ilvl="6" w:tplc="4809000F">
      <w:start w:val="1"/>
      <w:numFmt w:val="decimal"/>
      <w:lvlText w:val="%7."/>
      <w:lvlJc w:val="left"/>
      <w:pPr>
        <w:ind w:left="1506" w:hanging="360"/>
      </w:pPr>
      <w:rPr>
        <w:rFonts w:cs="Times New Roman"/>
      </w:rPr>
    </w:lvl>
    <w:lvl w:ilvl="7" w:tplc="48090019">
      <w:start w:val="1"/>
      <w:numFmt w:val="lowerLetter"/>
      <w:lvlText w:val="%8."/>
      <w:lvlJc w:val="left"/>
      <w:pPr>
        <w:ind w:left="2226" w:hanging="360"/>
      </w:pPr>
      <w:rPr>
        <w:rFonts w:cs="Times New Roman"/>
      </w:rPr>
    </w:lvl>
    <w:lvl w:ilvl="8" w:tplc="4809001B">
      <w:start w:val="1"/>
      <w:numFmt w:val="lowerRoman"/>
      <w:lvlText w:val="%9."/>
      <w:lvlJc w:val="right"/>
      <w:pPr>
        <w:ind w:left="2946" w:hanging="18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9D"/>
    <w:rsid w:val="000050F3"/>
    <w:rsid w:val="001335A8"/>
    <w:rsid w:val="00271E14"/>
    <w:rsid w:val="006772CF"/>
    <w:rsid w:val="00794CA9"/>
    <w:rsid w:val="008B599D"/>
    <w:rsid w:val="009641E6"/>
    <w:rsid w:val="00A145B7"/>
    <w:rsid w:val="00AA34A9"/>
    <w:rsid w:val="00AC358A"/>
    <w:rsid w:val="00BB1144"/>
    <w:rsid w:val="00E260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99D"/>
    <w:rPr>
      <w:color w:val="0563C1"/>
      <w:u w:val="single"/>
    </w:rPr>
  </w:style>
  <w:style w:type="paragraph" w:styleId="FootnoteText">
    <w:name w:val="footnote text"/>
    <w:basedOn w:val="Normal"/>
    <w:link w:val="FootnoteTextChar"/>
    <w:uiPriority w:val="99"/>
    <w:semiHidden/>
    <w:unhideWhenUsed/>
    <w:rsid w:val="008B599D"/>
    <w:pPr>
      <w:spacing w:after="0" w:line="240" w:lineRule="auto"/>
      <w:jc w:val="both"/>
    </w:pPr>
    <w:rPr>
      <w:rFonts w:ascii="Arial" w:hAnsi="Arial" w:cs="Arial"/>
      <w:color w:val="000000"/>
      <w:sz w:val="20"/>
      <w:szCs w:val="20"/>
      <w:lang w:eastAsia="en-US"/>
    </w:rPr>
  </w:style>
  <w:style w:type="character" w:customStyle="1" w:styleId="FootnoteTextChar">
    <w:name w:val="Footnote Text Char"/>
    <w:basedOn w:val="DefaultParagraphFont"/>
    <w:link w:val="FootnoteText"/>
    <w:uiPriority w:val="99"/>
    <w:semiHidden/>
    <w:rsid w:val="008B599D"/>
    <w:rPr>
      <w:rFonts w:ascii="Arial" w:hAnsi="Arial" w:cs="Arial"/>
      <w:color w:val="000000"/>
      <w:sz w:val="20"/>
      <w:szCs w:val="20"/>
      <w:lang w:eastAsia="en-US"/>
    </w:rPr>
  </w:style>
  <w:style w:type="character" w:styleId="FootnoteReference">
    <w:name w:val="footnote reference"/>
    <w:basedOn w:val="DefaultParagraphFont"/>
    <w:uiPriority w:val="99"/>
    <w:semiHidden/>
    <w:unhideWhenUsed/>
    <w:rsid w:val="008B599D"/>
    <w:rPr>
      <w:rFonts w:ascii="Times New Roman" w:hAnsi="Times New Roman" w:cs="Times New Roman" w:hint="default"/>
      <w:vertAlign w:val="superscript"/>
    </w:rPr>
  </w:style>
  <w:style w:type="paragraph" w:styleId="ListParagraph">
    <w:name w:val="List Paragraph"/>
    <w:basedOn w:val="Normal"/>
    <w:uiPriority w:val="34"/>
    <w:qFormat/>
    <w:rsid w:val="00A145B7"/>
    <w:pPr>
      <w:ind w:left="720"/>
      <w:contextualSpacing/>
    </w:pPr>
  </w:style>
  <w:style w:type="character" w:styleId="FollowedHyperlink">
    <w:name w:val="FollowedHyperlink"/>
    <w:basedOn w:val="DefaultParagraphFont"/>
    <w:uiPriority w:val="99"/>
    <w:semiHidden/>
    <w:unhideWhenUsed/>
    <w:rsid w:val="000050F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99D"/>
    <w:rPr>
      <w:color w:val="0563C1"/>
      <w:u w:val="single"/>
    </w:rPr>
  </w:style>
  <w:style w:type="paragraph" w:styleId="FootnoteText">
    <w:name w:val="footnote text"/>
    <w:basedOn w:val="Normal"/>
    <w:link w:val="FootnoteTextChar"/>
    <w:uiPriority w:val="99"/>
    <w:semiHidden/>
    <w:unhideWhenUsed/>
    <w:rsid w:val="008B599D"/>
    <w:pPr>
      <w:spacing w:after="0" w:line="240" w:lineRule="auto"/>
      <w:jc w:val="both"/>
    </w:pPr>
    <w:rPr>
      <w:rFonts w:ascii="Arial" w:hAnsi="Arial" w:cs="Arial"/>
      <w:color w:val="000000"/>
      <w:sz w:val="20"/>
      <w:szCs w:val="20"/>
      <w:lang w:eastAsia="en-US"/>
    </w:rPr>
  </w:style>
  <w:style w:type="character" w:customStyle="1" w:styleId="FootnoteTextChar">
    <w:name w:val="Footnote Text Char"/>
    <w:basedOn w:val="DefaultParagraphFont"/>
    <w:link w:val="FootnoteText"/>
    <w:uiPriority w:val="99"/>
    <w:semiHidden/>
    <w:rsid w:val="008B599D"/>
    <w:rPr>
      <w:rFonts w:ascii="Arial" w:hAnsi="Arial" w:cs="Arial"/>
      <w:color w:val="000000"/>
      <w:sz w:val="20"/>
      <w:szCs w:val="20"/>
      <w:lang w:eastAsia="en-US"/>
    </w:rPr>
  </w:style>
  <w:style w:type="character" w:styleId="FootnoteReference">
    <w:name w:val="footnote reference"/>
    <w:basedOn w:val="DefaultParagraphFont"/>
    <w:uiPriority w:val="99"/>
    <w:semiHidden/>
    <w:unhideWhenUsed/>
    <w:rsid w:val="008B599D"/>
    <w:rPr>
      <w:rFonts w:ascii="Times New Roman" w:hAnsi="Times New Roman" w:cs="Times New Roman" w:hint="default"/>
      <w:vertAlign w:val="superscript"/>
    </w:rPr>
  </w:style>
  <w:style w:type="paragraph" w:styleId="ListParagraph">
    <w:name w:val="List Paragraph"/>
    <w:basedOn w:val="Normal"/>
    <w:uiPriority w:val="34"/>
    <w:qFormat/>
    <w:rsid w:val="00A145B7"/>
    <w:pPr>
      <w:ind w:left="720"/>
      <w:contextualSpacing/>
    </w:pPr>
  </w:style>
  <w:style w:type="character" w:styleId="FollowedHyperlink">
    <w:name w:val="FollowedHyperlink"/>
    <w:basedOn w:val="DefaultParagraphFont"/>
    <w:uiPriority w:val="99"/>
    <w:semiHidden/>
    <w:unhideWhenUsed/>
    <w:rsid w:val="000050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65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so.agc.gov.sg/Act/TSFA200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ha.gov.sg/what-we-do/managing-security-threats/countering-the-financing-of-terro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 Hao LOH (MLAW)</dc:creator>
  <cp:lastModifiedBy>shi xian tan</cp:lastModifiedBy>
  <cp:revision>2</cp:revision>
  <dcterms:created xsi:type="dcterms:W3CDTF">2021-04-08T06:42:00Z</dcterms:created>
  <dcterms:modified xsi:type="dcterms:W3CDTF">2021-04-08T06:42:00Z</dcterms:modified>
</cp:coreProperties>
</file>