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2A5D" w14:textId="77777777" w:rsidR="00695A1A" w:rsidRPr="00326D36" w:rsidRDefault="00695A1A" w:rsidP="00695A1A">
      <w:pPr>
        <w:pStyle w:val="NoSpacing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  <w:lang w:val="en-SG"/>
        </w:rPr>
      </w:pPr>
      <w:r w:rsidRPr="00326D36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  <w:lang w:val="en-SG"/>
        </w:rPr>
        <w:t xml:space="preserve">Annex </w:t>
      </w:r>
      <w:r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  <w:lang w:val="en-SG"/>
        </w:rPr>
        <w:t>C</w:t>
      </w:r>
      <w:r w:rsidRPr="00326D36">
        <w:rPr>
          <w:rFonts w:ascii="Arial" w:hAnsi="Arial" w:cs="Arial"/>
          <w:b/>
          <w:bCs/>
          <w:sz w:val="24"/>
          <w:szCs w:val="24"/>
          <w:shd w:val="clear" w:color="auto" w:fill="FFFFFF"/>
          <w:lang w:val="en-SG"/>
        </w:rPr>
        <w:t xml:space="preserve">: Factsheet on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SG"/>
        </w:rPr>
        <w:t xml:space="preserve">the </w:t>
      </w:r>
      <w:r w:rsidRPr="00326D36">
        <w:rPr>
          <w:rFonts w:ascii="Arial" w:hAnsi="Arial" w:cs="Arial"/>
          <w:b/>
          <w:bCs/>
          <w:sz w:val="24"/>
          <w:szCs w:val="24"/>
          <w:shd w:val="clear" w:color="auto" w:fill="FFFFFF"/>
          <w:lang w:val="en-SG"/>
        </w:rPr>
        <w:t xml:space="preserve">Singapore Convention on Mediation </w:t>
      </w:r>
    </w:p>
    <w:p w14:paraId="6720EF13" w14:textId="77777777" w:rsidR="00695A1A" w:rsidRPr="00326D36" w:rsidRDefault="00695A1A" w:rsidP="00695A1A">
      <w:pPr>
        <w:pStyle w:val="NoSpacing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  <w:lang w:val="en-SG"/>
        </w:rPr>
      </w:pPr>
    </w:p>
    <w:p w14:paraId="75809C11" w14:textId="77777777" w:rsidR="00695A1A" w:rsidRPr="004F6A74" w:rsidRDefault="00695A1A" w:rsidP="00695A1A">
      <w:pPr>
        <w:pStyle w:val="NoSpacing"/>
        <w:jc w:val="both"/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  <w:lang w:val="en-SG"/>
        </w:rPr>
      </w:pPr>
      <w:r w:rsidRPr="004F6A74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  <w:lang w:val="en-SG"/>
        </w:rPr>
        <w:t>Background</w:t>
      </w:r>
      <w:r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  <w:lang w:val="en-SG"/>
        </w:rPr>
        <w:t>, Signing, and Ratification</w:t>
      </w:r>
    </w:p>
    <w:p w14:paraId="61F03528" w14:textId="77777777" w:rsidR="00695A1A" w:rsidRPr="00326D36" w:rsidRDefault="00695A1A" w:rsidP="00695A1A">
      <w:pPr>
        <w:pStyle w:val="NoSpacing"/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</w:p>
    <w:p w14:paraId="57341878" w14:textId="77777777" w:rsidR="00695A1A" w:rsidRDefault="00695A1A" w:rsidP="00695A1A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>On</w:t>
      </w:r>
      <w:r w:rsidRPr="00326D36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>June</w:t>
      </w:r>
      <w:r w:rsidRPr="00326D36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 2018, 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the United Nations Commission on International Trade Law (“UNCITRAL”), </w:t>
      </w:r>
      <w:r w:rsidRPr="00326D36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finalised the United Nations Convention on International Settlement Agreements Resulting from 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>Mediation</w:t>
      </w:r>
      <w:r w:rsidRPr="00326D36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and adopted the </w:t>
      </w:r>
      <w:r w:rsidRPr="00DA57B8">
        <w:rPr>
          <w:rFonts w:ascii="Arial" w:hAnsi="Arial" w:cs="Arial"/>
          <w:sz w:val="24"/>
          <w:szCs w:val="24"/>
          <w:shd w:val="clear" w:color="auto" w:fill="FFFFFF"/>
          <w:lang w:val="en-SG"/>
        </w:rPr>
        <w:t>UNCITRAL Model Law on International Commercial Mediation and International Settlement Agreements Resulting from Mediation, 2018 (amending the Model Law on International Commercial Conciliation, 2002)</w:t>
      </w:r>
      <w:r w:rsidRPr="00326D36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. </w:t>
      </w:r>
    </w:p>
    <w:p w14:paraId="049BA4BD" w14:textId="77777777" w:rsidR="00695A1A" w:rsidRDefault="00695A1A" w:rsidP="00695A1A">
      <w:pPr>
        <w:pStyle w:val="NoSpacing"/>
        <w:ind w:left="360"/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</w:p>
    <w:p w14:paraId="620BA4C6" w14:textId="77777777" w:rsidR="00695A1A" w:rsidRPr="00AB7893" w:rsidRDefault="00695A1A" w:rsidP="00695A1A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  <w:r w:rsidRPr="00AB7893">
        <w:rPr>
          <w:rFonts w:ascii="Arial" w:hAnsi="Arial" w:cs="Arial"/>
          <w:sz w:val="24"/>
          <w:szCs w:val="24"/>
          <w:shd w:val="clear" w:color="auto" w:fill="FFFFFF"/>
          <w:lang w:val="en-SG"/>
        </w:rPr>
        <w:t>On 20 December 2018, the United Nations General Assembly (i) adopted the Convention; (ii) authorised the signing ceremony of the Convention to be held in Singapore; and (iii) authorised the nomenclature of the “Singapore Convention on Mediation” (the “Singapore Convention”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) making it the </w:t>
      </w:r>
      <w:r w:rsidRPr="00AB7893">
        <w:rPr>
          <w:rFonts w:ascii="Arial" w:hAnsi="Arial" w:cs="Arial"/>
          <w:sz w:val="24"/>
          <w:szCs w:val="24"/>
        </w:rPr>
        <w:t>first UN treaty to be named after Singapore.</w:t>
      </w:r>
    </w:p>
    <w:p w14:paraId="73BD3005" w14:textId="77777777" w:rsidR="00695A1A" w:rsidRPr="00AB7893" w:rsidRDefault="00695A1A" w:rsidP="00695A1A">
      <w:pPr>
        <w:pStyle w:val="NoSpacing"/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</w:p>
    <w:p w14:paraId="3BE825D4" w14:textId="77777777" w:rsidR="00695A1A" w:rsidRDefault="00695A1A" w:rsidP="00695A1A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  <w:r w:rsidRPr="00326D36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On 7 August 2019, the Singapore Convention Signing Ceremony and Conference was held 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where </w:t>
      </w:r>
      <w:r w:rsidRPr="00326D36">
        <w:rPr>
          <w:rFonts w:ascii="Arial" w:hAnsi="Arial" w:cs="Arial"/>
          <w:sz w:val="24"/>
          <w:szCs w:val="24"/>
          <w:shd w:val="clear" w:color="auto" w:fill="FFFFFF"/>
          <w:lang w:val="en-SG"/>
        </w:rPr>
        <w:t>Singapore hosted more than 1,500 delegates from 70 countries at the event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>. 4</w:t>
      </w:r>
      <w:r w:rsidRPr="00326D36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6 countries signed the 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Singapore </w:t>
      </w:r>
      <w:r w:rsidRPr="00326D36">
        <w:rPr>
          <w:rFonts w:ascii="Arial" w:hAnsi="Arial" w:cs="Arial"/>
          <w:sz w:val="24"/>
          <w:szCs w:val="24"/>
          <w:shd w:val="clear" w:color="auto" w:fill="FFFFFF"/>
          <w:lang w:val="en-SG"/>
        </w:rPr>
        <w:t>Convention on that day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 and subsequently, </w:t>
      </w:r>
      <w:r w:rsidRPr="00326D36">
        <w:rPr>
          <w:rFonts w:ascii="Arial" w:hAnsi="Arial" w:cs="Arial"/>
          <w:sz w:val="24"/>
          <w:szCs w:val="24"/>
          <w:shd w:val="clear" w:color="auto" w:fill="FFFFFF"/>
          <w:lang w:val="en-SG"/>
        </w:rPr>
        <w:t>seven other countries signed at the UN headquarters in New York, bringing the total number of signatories to 53.</w:t>
      </w:r>
    </w:p>
    <w:p w14:paraId="54001327" w14:textId="77777777" w:rsidR="00695A1A" w:rsidRDefault="00695A1A" w:rsidP="00695A1A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</w:p>
    <w:p w14:paraId="21EB908B" w14:textId="77777777" w:rsidR="00695A1A" w:rsidRPr="00BD3331" w:rsidRDefault="00695A1A" w:rsidP="00695A1A">
      <w:pPr>
        <w:pStyle w:val="NoSpacing"/>
        <w:numPr>
          <w:ilvl w:val="0"/>
          <w:numId w:val="1"/>
        </w:numPr>
        <w:ind w:left="357" w:hanging="357"/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On </w:t>
      </w:r>
      <w:r w:rsidRPr="00382FAB">
        <w:rPr>
          <w:rFonts w:ascii="Arial" w:hAnsi="Arial" w:cs="Arial"/>
          <w:sz w:val="24"/>
          <w:szCs w:val="24"/>
          <w:shd w:val="clear" w:color="auto" w:fill="FFFFFF"/>
          <w:lang w:val="en-SG"/>
        </w:rPr>
        <w:t>12 September 2020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, the </w:t>
      </w:r>
      <w:r w:rsidRPr="00382FAB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Singapore Convention 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came into force. </w:t>
      </w:r>
    </w:p>
    <w:p w14:paraId="6514E203" w14:textId="77777777" w:rsidR="00695A1A" w:rsidRPr="00BD3331" w:rsidRDefault="00695A1A" w:rsidP="00695A1A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2F6BCC" w14:textId="77777777" w:rsidR="00695A1A" w:rsidRPr="00C556EC" w:rsidRDefault="00695A1A" w:rsidP="00695A1A">
      <w:pPr>
        <w:pStyle w:val="NoSpacing"/>
        <w:numPr>
          <w:ilvl w:val="0"/>
          <w:numId w:val="1"/>
        </w:numPr>
        <w:ind w:left="357" w:hanging="357"/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  <w:r w:rsidRPr="00BD3331">
        <w:rPr>
          <w:rFonts w:ascii="Arial" w:hAnsi="Arial" w:cs="Arial"/>
          <w:sz w:val="24"/>
          <w:szCs w:val="24"/>
        </w:rPr>
        <w:t xml:space="preserve">On 4 June 2021, Brazil signed the </w:t>
      </w:r>
      <w:r>
        <w:rPr>
          <w:rFonts w:ascii="Arial" w:hAnsi="Arial" w:cs="Arial"/>
          <w:sz w:val="24"/>
          <w:szCs w:val="24"/>
        </w:rPr>
        <w:t xml:space="preserve">Singapore </w:t>
      </w:r>
      <w:r w:rsidRPr="00BD3331">
        <w:rPr>
          <w:rFonts w:ascii="Arial" w:hAnsi="Arial" w:cs="Arial"/>
          <w:sz w:val="24"/>
          <w:szCs w:val="24"/>
        </w:rPr>
        <w:t>Convention</w:t>
      </w:r>
      <w:r>
        <w:rPr>
          <w:rFonts w:ascii="Arial" w:hAnsi="Arial" w:cs="Arial"/>
          <w:sz w:val="24"/>
          <w:szCs w:val="24"/>
        </w:rPr>
        <w:t xml:space="preserve">, bringing the total number of signatories to 54 countries. </w:t>
      </w:r>
    </w:p>
    <w:p w14:paraId="4F4761BA" w14:textId="77777777" w:rsidR="00695A1A" w:rsidRDefault="00695A1A" w:rsidP="00695A1A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</w:p>
    <w:p w14:paraId="007CF6B7" w14:textId="77777777" w:rsidR="00695A1A" w:rsidRPr="00A63836" w:rsidRDefault="00695A1A" w:rsidP="00695A1A">
      <w:pPr>
        <w:pStyle w:val="NoSpacing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  <w:lang w:val="en-SG"/>
        </w:rPr>
      </w:pPr>
      <w:r w:rsidRPr="00A63836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  <w:lang w:val="en-SG"/>
        </w:rPr>
        <w:t xml:space="preserve">Key </w:t>
      </w:r>
      <w:r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  <w:lang w:val="en-SG"/>
        </w:rPr>
        <w:t>B</w:t>
      </w:r>
      <w:r w:rsidRPr="00A63836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  <w:lang w:val="en-SG"/>
        </w:rPr>
        <w:t xml:space="preserve">enefits </w:t>
      </w:r>
    </w:p>
    <w:p w14:paraId="55116B4C" w14:textId="77777777" w:rsidR="00695A1A" w:rsidRPr="00C556EC" w:rsidRDefault="00695A1A" w:rsidP="00695A1A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</w:p>
    <w:p w14:paraId="184E31E2" w14:textId="77777777" w:rsidR="00695A1A" w:rsidRDefault="00695A1A" w:rsidP="00695A1A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  <w:r w:rsidRPr="002B09C8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Mediation is rising in popularity as a means to resolve </w:t>
      </w:r>
      <w:r w:rsidRPr="00F04210">
        <w:rPr>
          <w:rFonts w:ascii="Arial" w:hAnsi="Arial" w:cs="Arial"/>
          <w:sz w:val="24"/>
          <w:szCs w:val="24"/>
          <w:shd w:val="clear" w:color="auto" w:fill="FFFFFF"/>
          <w:lang w:val="en-SG"/>
        </w:rPr>
        <w:t>cross-border commercial disputes</w:t>
      </w:r>
      <w:r w:rsidRPr="001C6AB8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for several reasons, including the fact that </w:t>
      </w:r>
      <w:r w:rsidRPr="00BD3331">
        <w:rPr>
          <w:rFonts w:ascii="Arial" w:hAnsi="Arial" w:cs="Arial"/>
          <w:sz w:val="24"/>
          <w:szCs w:val="24"/>
          <w:shd w:val="clear" w:color="auto" w:fill="FFFFFF"/>
          <w:lang w:val="en-SG"/>
        </w:rPr>
        <w:t>it results in party-driven solutions which are not imposed by a third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 </w:t>
      </w:r>
      <w:r w:rsidRPr="00BD3331">
        <w:rPr>
          <w:rFonts w:ascii="Arial" w:hAnsi="Arial" w:cs="Arial"/>
          <w:sz w:val="24"/>
          <w:szCs w:val="24"/>
          <w:shd w:val="clear" w:color="auto" w:fill="FFFFFF"/>
          <w:lang w:val="en-SG"/>
        </w:rPr>
        <w:t>party. It also reduces time and costs for parties as well as burdens to the state. Due to its conciliatory nature, it better facilitates business continuity and relationships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>,</w:t>
      </w:r>
      <w:r w:rsidRPr="00BD3331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 also reducing 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>i</w:t>
      </w:r>
      <w:r w:rsidRPr="00BD3331">
        <w:rPr>
          <w:rFonts w:ascii="Arial" w:hAnsi="Arial" w:cs="Arial"/>
          <w:sz w:val="24"/>
          <w:szCs w:val="24"/>
          <w:shd w:val="clear" w:color="auto" w:fill="FFFFFF"/>
          <w:lang w:val="en-SG"/>
        </w:rPr>
        <w:t>nstances where a dispute leads to termination of commercial relationships. Mediation is also a flexible solution for international disputes as it can be combined with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 </w:t>
      </w:r>
      <w:r w:rsidRPr="00BD3331">
        <w:rPr>
          <w:rFonts w:ascii="Arial" w:hAnsi="Arial" w:cs="Arial"/>
          <w:sz w:val="24"/>
          <w:szCs w:val="24"/>
          <w:shd w:val="clear" w:color="auto" w:fill="FFFFFF"/>
          <w:lang w:val="en-SG"/>
        </w:rPr>
        <w:t>or complement other modes of dispute resolution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>,</w:t>
      </w:r>
      <w:r w:rsidRPr="00BD3331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 such as litigation or arbitration.</w:t>
      </w:r>
    </w:p>
    <w:p w14:paraId="0ADC5FEE" w14:textId="77777777" w:rsidR="00695A1A" w:rsidRDefault="00695A1A" w:rsidP="00695A1A">
      <w:pPr>
        <w:pStyle w:val="NoSpacing"/>
        <w:ind w:left="360"/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</w:p>
    <w:p w14:paraId="4358E31C" w14:textId="77777777" w:rsidR="00695A1A" w:rsidRPr="00C556EC" w:rsidRDefault="00695A1A" w:rsidP="00695A1A">
      <w:pPr>
        <w:pStyle w:val="NoSpacing"/>
        <w:numPr>
          <w:ilvl w:val="0"/>
          <w:numId w:val="1"/>
        </w:numPr>
        <w:ind w:left="357" w:hanging="357"/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>H</w:t>
      </w:r>
      <w:r w:rsidRPr="00C556EC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owever, its growth has been hindered by the long-standing obstacle of a lack of enforceability of the mediated 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settlement </w:t>
      </w:r>
      <w:r w:rsidRPr="00C556EC">
        <w:rPr>
          <w:rFonts w:ascii="Arial" w:hAnsi="Arial" w:cs="Arial"/>
          <w:sz w:val="24"/>
          <w:szCs w:val="24"/>
          <w:shd w:val="clear" w:color="auto" w:fill="FFFFFF"/>
          <w:lang w:val="en-SG"/>
        </w:rPr>
        <w:t>agreement. Unlike a court judgment or an arbitral award, previously, a mediated agreement was only binding contractually and not directly enforceable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. </w:t>
      </w:r>
      <w:r w:rsidRPr="00C556EC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The lack of an efficient and harmonised framework for cross-border enforcement of settlement agreements resulting from mediation was often cited as a challenge in utilising mediation as an effective solution. </w:t>
      </w:r>
    </w:p>
    <w:p w14:paraId="440D851C" w14:textId="77777777" w:rsidR="00695A1A" w:rsidRPr="00326D36" w:rsidRDefault="00695A1A" w:rsidP="00695A1A">
      <w:pPr>
        <w:pStyle w:val="NoSpacing"/>
        <w:ind w:left="360"/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</w:p>
    <w:p w14:paraId="55B85824" w14:textId="77777777" w:rsidR="00695A1A" w:rsidRDefault="00695A1A" w:rsidP="00695A1A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  <w:r w:rsidRPr="00C22111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The Singapore </w:t>
      </w:r>
      <w:r w:rsidRPr="00C16440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Convention </w:t>
      </w:r>
      <w:r w:rsidRPr="00BD3331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directly addresses the lack of an effective means to enforce cross-border commercial mediated settlement agreements by providing the framework by which agreements may be enforced. Businesses can have </w:t>
      </w:r>
      <w:r w:rsidRPr="00BD3331">
        <w:rPr>
          <w:rFonts w:ascii="Arial" w:hAnsi="Arial" w:cs="Arial"/>
          <w:sz w:val="24"/>
          <w:szCs w:val="24"/>
          <w:shd w:val="clear" w:color="auto" w:fill="FFFFFF"/>
          <w:lang w:val="en-SG"/>
        </w:rPr>
        <w:lastRenderedPageBreak/>
        <w:t xml:space="preserve">greater assurance that mediation can be relied on to settle cross-border commercial disputes because mediated settlement agreements can be enforced more readily by the 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>c</w:t>
      </w:r>
      <w:r w:rsidRPr="00BD3331">
        <w:rPr>
          <w:rFonts w:ascii="Arial" w:hAnsi="Arial" w:cs="Arial"/>
          <w:sz w:val="24"/>
          <w:szCs w:val="24"/>
          <w:shd w:val="clear" w:color="auto" w:fill="FFFFFF"/>
          <w:lang w:val="en-SG"/>
        </w:rPr>
        <w:t>ourts of contracting parties to the Singapore Convention.</w:t>
      </w:r>
    </w:p>
    <w:p w14:paraId="1C1A362C" w14:textId="77777777" w:rsidR="00695A1A" w:rsidRPr="00C22111" w:rsidRDefault="00695A1A" w:rsidP="00695A1A">
      <w:pPr>
        <w:pStyle w:val="NoSpacing"/>
        <w:ind w:left="360"/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  <w:r w:rsidRPr="00BD3331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 </w:t>
      </w:r>
    </w:p>
    <w:p w14:paraId="349CE856" w14:textId="77777777" w:rsidR="00695A1A" w:rsidRPr="00326D36" w:rsidRDefault="00695A1A" w:rsidP="00695A1A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  <w:r w:rsidRPr="00326D36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This 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certainty of outcomes is beneficial for businesses especially during a period of uncertainty such as the COVID-19 pandemic. It will also help to </w:t>
      </w:r>
      <w:r w:rsidRPr="00326D36">
        <w:rPr>
          <w:rFonts w:ascii="Arial" w:hAnsi="Arial" w:cs="Arial"/>
          <w:sz w:val="24"/>
          <w:szCs w:val="24"/>
          <w:shd w:val="clear" w:color="auto" w:fill="FFFFFF"/>
          <w:lang w:val="en-SG"/>
        </w:rPr>
        <w:t>promote the use of mediation around the world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 for cross-border disputes, saving time and costs, and potentially ensure better business continuity,</w:t>
      </w:r>
      <w:r w:rsidRPr="00326D36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facilitating the growth of international trade and commerce. </w:t>
      </w:r>
    </w:p>
    <w:p w14:paraId="028A077C" w14:textId="77777777" w:rsidR="00695A1A" w:rsidRPr="00326D36" w:rsidRDefault="00695A1A" w:rsidP="00695A1A">
      <w:pPr>
        <w:pStyle w:val="NoSpacing"/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</w:p>
    <w:p w14:paraId="044DC42B" w14:textId="77777777" w:rsidR="00695A1A" w:rsidRPr="00683BC3" w:rsidRDefault="00695A1A" w:rsidP="00695A1A">
      <w:pPr>
        <w:pStyle w:val="NoSpacing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  <w:lang w:val="en-SG"/>
        </w:rPr>
      </w:pPr>
      <w:r w:rsidRPr="00683BC3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  <w:lang w:val="en-SG"/>
        </w:rPr>
        <w:t xml:space="preserve">Applicability of the Singapore Convention </w:t>
      </w:r>
    </w:p>
    <w:p w14:paraId="366B47DE" w14:textId="77777777" w:rsidR="00695A1A" w:rsidRPr="00326D36" w:rsidRDefault="00695A1A" w:rsidP="00695A1A">
      <w:pPr>
        <w:pStyle w:val="NoSpacing"/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</w:p>
    <w:p w14:paraId="4CB0DA7E" w14:textId="77777777" w:rsidR="00695A1A" w:rsidRDefault="00695A1A" w:rsidP="00695A1A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  <w:r w:rsidRPr="00BA2E67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The </w:t>
      </w:r>
      <w:r w:rsidRPr="00D43431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Singapore </w:t>
      </w:r>
      <w:r w:rsidRPr="001C6AB8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Convention </w:t>
      </w:r>
      <w:r w:rsidRPr="003B0637">
        <w:rPr>
          <w:rFonts w:ascii="Arial" w:hAnsi="Arial" w:cs="Arial"/>
          <w:b/>
          <w:bCs/>
          <w:sz w:val="24"/>
          <w:szCs w:val="24"/>
          <w:shd w:val="clear" w:color="auto" w:fill="FFFFFF"/>
          <w:lang w:val="en-SG"/>
        </w:rPr>
        <w:t>will</w:t>
      </w:r>
      <w:r w:rsidRPr="00BD3331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 apply to international commercial settlement agreements resulting from mediation.</w:t>
      </w:r>
      <w:r w:rsidRPr="00D43431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 </w:t>
      </w:r>
      <w:r w:rsidRPr="00EE62D6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The courts of a contracting party will be expected to handle applications either to enforce an international settlement agreement 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>that</w:t>
      </w:r>
      <w:r w:rsidRPr="00EE62D6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 falls within 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>its</w:t>
      </w:r>
      <w:r w:rsidRPr="00EE62D6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 scope or to allow a party to invoke the settlement agreement to prove that the matter has already been resolved, in accordance with its rules of procedure, and under the conditi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ons of the </w:t>
      </w:r>
      <w:r w:rsidRPr="00EE62D6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Singapore Convention. </w:t>
      </w:r>
    </w:p>
    <w:p w14:paraId="37BAEFF0" w14:textId="77777777" w:rsidR="00695A1A" w:rsidRPr="00EE62D6" w:rsidRDefault="00695A1A" w:rsidP="00695A1A">
      <w:pPr>
        <w:pStyle w:val="NoSpacing"/>
        <w:ind w:left="360"/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</w:p>
    <w:p w14:paraId="19938DB3" w14:textId="77777777" w:rsidR="00695A1A" w:rsidRDefault="00695A1A" w:rsidP="00695A1A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The Singapore Convention </w:t>
      </w:r>
      <w:r w:rsidRPr="00BD3331">
        <w:rPr>
          <w:rFonts w:ascii="Arial" w:hAnsi="Arial" w:cs="Arial"/>
          <w:b/>
          <w:bCs/>
          <w:sz w:val="24"/>
          <w:szCs w:val="24"/>
          <w:shd w:val="clear" w:color="auto" w:fill="FFFFFF"/>
          <w:lang w:val="en-SG"/>
        </w:rPr>
        <w:t xml:space="preserve">will not </w:t>
      </w:r>
      <w:r w:rsidRPr="00B32A2F">
        <w:rPr>
          <w:rFonts w:ascii="Arial" w:hAnsi="Arial" w:cs="Arial"/>
          <w:sz w:val="24"/>
          <w:szCs w:val="24"/>
          <w:shd w:val="clear" w:color="auto" w:fill="FFFFFF"/>
          <w:lang w:val="en-SG"/>
        </w:rPr>
        <w:t>apply to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>:</w:t>
      </w:r>
    </w:p>
    <w:p w14:paraId="4CAFD8C1" w14:textId="77777777" w:rsidR="00695A1A" w:rsidRDefault="00695A1A" w:rsidP="00695A1A">
      <w:pPr>
        <w:pStyle w:val="NoSpacing"/>
        <w:ind w:left="360"/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</w:p>
    <w:p w14:paraId="111B3DF5" w14:textId="77777777" w:rsidR="00695A1A" w:rsidRDefault="00695A1A" w:rsidP="00695A1A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>I</w:t>
      </w:r>
      <w:r w:rsidRPr="00B32A2F">
        <w:rPr>
          <w:rFonts w:ascii="Arial" w:hAnsi="Arial" w:cs="Arial"/>
          <w:sz w:val="24"/>
          <w:szCs w:val="24"/>
          <w:shd w:val="clear" w:color="auto" w:fill="FFFFFF"/>
          <w:lang w:val="en-SG"/>
        </w:rPr>
        <w:t>nternational settlement agreements that are concluded in the course of judicial or arbitral proceedings and which are enforceable as a court judgment or arbitral award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; or </w:t>
      </w:r>
    </w:p>
    <w:p w14:paraId="5D248B50" w14:textId="77777777" w:rsidR="00695A1A" w:rsidRDefault="00695A1A" w:rsidP="00695A1A">
      <w:pPr>
        <w:pStyle w:val="NoSpacing"/>
        <w:ind w:left="360" w:firstLine="360"/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</w:p>
    <w:p w14:paraId="5E015573" w14:textId="77777777" w:rsidR="00695A1A" w:rsidRPr="00B32A2F" w:rsidRDefault="00695A1A" w:rsidP="00695A1A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>S</w:t>
      </w:r>
      <w:r w:rsidRPr="00B32A2F">
        <w:rPr>
          <w:rFonts w:ascii="Arial" w:hAnsi="Arial" w:cs="Arial"/>
          <w:sz w:val="24"/>
          <w:szCs w:val="24"/>
          <w:shd w:val="clear" w:color="auto" w:fill="FFFFFF"/>
          <w:lang w:val="en-SG"/>
        </w:rPr>
        <w:t>ettlement agreements concluded for personal, family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>,</w:t>
      </w:r>
      <w:r w:rsidRPr="00B32A2F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 or household purposes by one of the parties (a consumer), as well as settlement agreements relating to family, inheritance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>,</w:t>
      </w:r>
      <w:r w:rsidRPr="00B32A2F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 or employment law. </w:t>
      </w:r>
    </w:p>
    <w:p w14:paraId="7438115D" w14:textId="77777777" w:rsidR="00695A1A" w:rsidRPr="00326D36" w:rsidRDefault="00695A1A" w:rsidP="00695A1A">
      <w:pPr>
        <w:pStyle w:val="NoSpacing"/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</w:p>
    <w:p w14:paraId="25FF0EE7" w14:textId="77777777" w:rsidR="00695A1A" w:rsidRDefault="00695A1A" w:rsidP="00695A1A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>T</w:t>
      </w:r>
      <w:r w:rsidRPr="00326D36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he courts of a contracting party may refuse to grant relief on the grounds laid down in the 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Singapore </w:t>
      </w:r>
      <w:r w:rsidRPr="00326D36">
        <w:rPr>
          <w:rFonts w:ascii="Arial" w:hAnsi="Arial" w:cs="Arial"/>
          <w:sz w:val="24"/>
          <w:szCs w:val="24"/>
          <w:shd w:val="clear" w:color="auto" w:fill="FFFFFF"/>
          <w:lang w:val="en-SG"/>
        </w:rPr>
        <w:t>Convention, including:</w:t>
      </w:r>
    </w:p>
    <w:p w14:paraId="44EB7FF8" w14:textId="77777777" w:rsidR="00695A1A" w:rsidRPr="00326D36" w:rsidRDefault="00695A1A" w:rsidP="00695A1A">
      <w:pPr>
        <w:pStyle w:val="NoSpacing"/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  <w:r w:rsidRPr="00326D36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 </w:t>
      </w:r>
    </w:p>
    <w:p w14:paraId="199934F2" w14:textId="77777777" w:rsidR="00695A1A" w:rsidRPr="00326D36" w:rsidRDefault="00695A1A" w:rsidP="00695A1A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  <w:r w:rsidRPr="00326D36">
        <w:rPr>
          <w:rFonts w:ascii="Arial" w:hAnsi="Arial" w:cs="Arial"/>
          <w:sz w:val="24"/>
          <w:szCs w:val="24"/>
          <w:shd w:val="clear" w:color="auto" w:fill="FFFFFF"/>
          <w:lang w:val="en-SG"/>
        </w:rPr>
        <w:t>If a party to the settlement agreement was under incapacity;</w:t>
      </w:r>
    </w:p>
    <w:p w14:paraId="2590F850" w14:textId="77777777" w:rsidR="00695A1A" w:rsidRPr="00326D36" w:rsidRDefault="00695A1A" w:rsidP="00695A1A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  <w:r w:rsidRPr="00326D36">
        <w:rPr>
          <w:rFonts w:ascii="Arial" w:hAnsi="Arial" w:cs="Arial"/>
          <w:sz w:val="24"/>
          <w:szCs w:val="24"/>
          <w:shd w:val="clear" w:color="auto" w:fill="FFFFFF"/>
          <w:lang w:val="en-SG"/>
        </w:rPr>
        <w:t>If the settlement agreement is not binding, null and void, inoperative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>,</w:t>
      </w:r>
      <w:r w:rsidRPr="00326D36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 or incapable of being performed under the law 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to </w:t>
      </w:r>
      <w:r w:rsidRPr="00326D36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which it is subjected to; </w:t>
      </w:r>
    </w:p>
    <w:p w14:paraId="4592EB15" w14:textId="77777777" w:rsidR="00695A1A" w:rsidRPr="00326D36" w:rsidRDefault="00695A1A" w:rsidP="00695A1A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  <w:r w:rsidRPr="00326D36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If there was a serious breach by the conciliator of standards applicable to the conciliator, without which breach that party would not have entered into the settlement agreement; </w:t>
      </w:r>
      <w:r>
        <w:rPr>
          <w:rFonts w:ascii="Arial" w:hAnsi="Arial" w:cs="Arial"/>
          <w:sz w:val="24"/>
          <w:szCs w:val="24"/>
          <w:shd w:val="clear" w:color="auto" w:fill="FFFFFF"/>
          <w:lang w:val="en-SG"/>
        </w:rPr>
        <w:t>and</w:t>
      </w:r>
    </w:p>
    <w:p w14:paraId="30514C30" w14:textId="77777777" w:rsidR="00695A1A" w:rsidRPr="00326D36" w:rsidRDefault="00695A1A" w:rsidP="00695A1A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shd w:val="clear" w:color="auto" w:fill="FFFFFF"/>
          <w:lang w:val="en-SG"/>
        </w:rPr>
      </w:pPr>
      <w:r w:rsidRPr="00326D36">
        <w:rPr>
          <w:rFonts w:ascii="Arial" w:hAnsi="Arial" w:cs="Arial"/>
          <w:sz w:val="24"/>
          <w:szCs w:val="24"/>
          <w:shd w:val="clear" w:color="auto" w:fill="FFFFFF"/>
          <w:lang w:val="en-SG"/>
        </w:rPr>
        <w:t xml:space="preserve">If granting relief would be contrary to the public policy of the contracting party. </w:t>
      </w:r>
    </w:p>
    <w:p w14:paraId="39E492D2" w14:textId="77777777" w:rsidR="00695A1A" w:rsidRPr="00C77702" w:rsidRDefault="00695A1A" w:rsidP="00695A1A">
      <w:pPr>
        <w:pStyle w:val="NoSpacing"/>
        <w:rPr>
          <w:rFonts w:ascii="Arial" w:hAnsi="Arial" w:cs="Arial"/>
          <w:color w:val="484848"/>
          <w:sz w:val="24"/>
          <w:szCs w:val="24"/>
          <w:shd w:val="clear" w:color="auto" w:fill="FFFFFF"/>
          <w:lang w:val="en-SG"/>
        </w:rPr>
      </w:pPr>
    </w:p>
    <w:p w14:paraId="10E163C6" w14:textId="77777777" w:rsidR="00695A1A" w:rsidRPr="00E9051F" w:rsidRDefault="00695A1A" w:rsidP="00695A1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  <w:lang w:val="en-SG"/>
        </w:rPr>
      </w:pPr>
      <w:r w:rsidRPr="00E9051F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  <w:lang w:val="en-SG"/>
        </w:rPr>
        <w:t xml:space="preserve">List of Countries that Signed and Ratified the Singapore Convention </w:t>
      </w:r>
    </w:p>
    <w:p w14:paraId="31BD6278" w14:textId="77777777" w:rsidR="00695A1A" w:rsidRDefault="00695A1A" w:rsidP="00695A1A">
      <w:pPr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  <w:shd w:val="clear" w:color="auto" w:fill="FFFFFF"/>
          <w:lang w:val="en-SG"/>
        </w:rPr>
      </w:pPr>
      <w:r w:rsidRPr="002B4834">
        <w:rPr>
          <w:rFonts w:ascii="Arial" w:hAnsi="Arial" w:cs="Arial"/>
          <w:bCs/>
          <w:i/>
          <w:sz w:val="24"/>
          <w:szCs w:val="24"/>
          <w:shd w:val="clear" w:color="auto" w:fill="FFFFFF"/>
          <w:lang w:val="en-SG"/>
        </w:rPr>
        <w:t>Note: Countries that have ratified</w:t>
      </w:r>
      <w:r>
        <w:rPr>
          <w:rFonts w:ascii="Arial" w:hAnsi="Arial" w:cs="Arial"/>
          <w:bCs/>
          <w:i/>
          <w:sz w:val="24"/>
          <w:szCs w:val="24"/>
          <w:shd w:val="clear" w:color="auto" w:fill="FFFFFF"/>
          <w:lang w:val="en-SG"/>
        </w:rPr>
        <w:t>/approved</w:t>
      </w:r>
      <w:r w:rsidRPr="002B4834">
        <w:rPr>
          <w:rFonts w:ascii="Arial" w:hAnsi="Arial" w:cs="Arial"/>
          <w:bCs/>
          <w:i/>
          <w:sz w:val="24"/>
          <w:szCs w:val="24"/>
          <w:shd w:val="clear" w:color="auto" w:fill="FFFFFF"/>
          <w:lang w:val="en-SG"/>
        </w:rPr>
        <w:t xml:space="preserve"> the Singapore Convention are denoted with a</w:t>
      </w:r>
      <w:r>
        <w:rPr>
          <w:rFonts w:ascii="Arial" w:hAnsi="Arial" w:cs="Arial"/>
          <w:bCs/>
          <w:i/>
          <w:sz w:val="24"/>
          <w:szCs w:val="24"/>
          <w:shd w:val="clear" w:color="auto" w:fill="FFFFFF"/>
          <w:lang w:val="en-SG"/>
        </w:rPr>
        <w:t>n asterisk</w:t>
      </w:r>
      <w:r w:rsidRPr="002B4834">
        <w:rPr>
          <w:rFonts w:ascii="Arial" w:hAnsi="Arial" w:cs="Arial"/>
          <w:bCs/>
          <w:i/>
          <w:sz w:val="24"/>
          <w:szCs w:val="24"/>
          <w:shd w:val="clear" w:color="auto" w:fill="FFFFFF"/>
          <w:lang w:val="en-SG"/>
        </w:rPr>
        <w:t xml:space="preserve"> </w:t>
      </w:r>
      <w:r>
        <w:rPr>
          <w:rFonts w:ascii="Arial" w:hAnsi="Arial" w:cs="Arial"/>
          <w:bCs/>
          <w:i/>
          <w:sz w:val="24"/>
          <w:szCs w:val="24"/>
          <w:shd w:val="clear" w:color="auto" w:fill="FFFFFF"/>
          <w:lang w:val="en-SG"/>
        </w:rPr>
        <w:t>(</w:t>
      </w:r>
      <w:r w:rsidRPr="002B4834">
        <w:rPr>
          <w:rFonts w:ascii="Arial" w:hAnsi="Arial" w:cs="Arial"/>
          <w:bCs/>
          <w:i/>
          <w:sz w:val="24"/>
          <w:szCs w:val="24"/>
          <w:shd w:val="clear" w:color="auto" w:fill="FFFFFF"/>
          <w:lang w:val="en-SG"/>
        </w:rPr>
        <w:t>*</w:t>
      </w:r>
      <w:r>
        <w:rPr>
          <w:rFonts w:ascii="Arial" w:hAnsi="Arial" w:cs="Arial"/>
          <w:bCs/>
          <w:i/>
          <w:sz w:val="24"/>
          <w:szCs w:val="24"/>
          <w:shd w:val="clear" w:color="auto" w:fill="FFFFFF"/>
          <w:lang w:val="en-SG"/>
        </w:rPr>
        <w:t>)</w:t>
      </w:r>
    </w:p>
    <w:p w14:paraId="497770A2" w14:textId="77777777" w:rsidR="00695A1A" w:rsidRPr="002B4834" w:rsidRDefault="00695A1A" w:rsidP="00695A1A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shd w:val="clear" w:color="auto" w:fill="FFFFFF"/>
          <w:lang w:val="en-SG"/>
        </w:rPr>
      </w:pPr>
    </w:p>
    <w:tbl>
      <w:tblPr>
        <w:tblW w:w="9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3489"/>
        <w:gridCol w:w="850"/>
        <w:gridCol w:w="4395"/>
      </w:tblGrid>
      <w:tr w:rsidR="00695A1A" w:rsidRPr="00326D36" w14:paraId="0999D146" w14:textId="77777777" w:rsidTr="000719D2">
        <w:trPr>
          <w:trHeight w:val="20"/>
        </w:trPr>
        <w:tc>
          <w:tcPr>
            <w:tcW w:w="761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28C4EE" w14:textId="77777777" w:rsidR="00695A1A" w:rsidRPr="00B06D1F" w:rsidRDefault="00695A1A" w:rsidP="000719D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  <w:lang w:val="en-SG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  <w:lang w:val="en-SG"/>
              </w:rPr>
              <w:t>S/N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179C46" w14:textId="77777777" w:rsidR="00695A1A" w:rsidRPr="00326D36" w:rsidRDefault="00695A1A" w:rsidP="000719D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  <w:lang w:val="en-SG"/>
              </w:rPr>
            </w:pPr>
            <w:r w:rsidRPr="00B06D1F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  <w:lang w:val="en-SG"/>
              </w:rPr>
              <w:t>Country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D32403" w14:textId="77777777" w:rsidR="00695A1A" w:rsidRPr="00B06D1F" w:rsidRDefault="00695A1A" w:rsidP="000719D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  <w:lang w:val="en-SG"/>
              </w:rPr>
            </w:pPr>
            <w:r w:rsidRPr="00B06D1F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  <w:lang w:val="en-SG"/>
              </w:rPr>
              <w:t>S/N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19673A" w14:textId="77777777" w:rsidR="00695A1A" w:rsidRPr="00326D36" w:rsidRDefault="00695A1A" w:rsidP="000719D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  <w:lang w:val="en-SG"/>
              </w:rPr>
            </w:pPr>
            <w:r w:rsidRPr="00B06D1F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  <w:lang w:val="en-SG"/>
              </w:rPr>
              <w:t>Country</w:t>
            </w:r>
          </w:p>
        </w:tc>
      </w:tr>
      <w:tr w:rsidR="00695A1A" w:rsidRPr="00326D36" w14:paraId="7559BA5C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FE1C8E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1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9A6147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Afghanistan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92DE00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28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95B6D8E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Kazakhstan</w:t>
            </w:r>
          </w:p>
          <w:p w14:paraId="5386CC55" w14:textId="77777777" w:rsidR="00695A1A" w:rsidRPr="00326D36" w:rsidRDefault="00695A1A" w:rsidP="000719D2">
            <w:pPr>
              <w:jc w:val="both"/>
              <w:rPr>
                <w:rFonts w:ascii="Calibri" w:eastAsia="DengXian" w:hAnsi="Calibri" w:cs="Arial"/>
                <w:sz w:val="24"/>
                <w:szCs w:val="24"/>
                <w:shd w:val="clear" w:color="auto" w:fill="FFFFFF"/>
                <w:lang w:val="en-SG"/>
              </w:rPr>
            </w:pPr>
          </w:p>
        </w:tc>
      </w:tr>
      <w:tr w:rsidR="00695A1A" w:rsidRPr="00326D36" w14:paraId="6A7431E1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4F4154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lastRenderedPageBreak/>
              <w:t>2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189E832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Armenia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9D6DE0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29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C8D0E8E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Lao People’s Democratic Republic</w:t>
            </w:r>
          </w:p>
        </w:tc>
      </w:tr>
      <w:tr w:rsidR="00695A1A" w:rsidRPr="00326D36" w14:paraId="2F2DF9D7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AA6BD8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3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F7EE8C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Belarus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*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8749BA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30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D242862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Malaysia</w:t>
            </w:r>
          </w:p>
        </w:tc>
      </w:tr>
      <w:tr w:rsidR="00695A1A" w:rsidRPr="00326D36" w14:paraId="55CDA2F5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1D67677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4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8B6009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Benin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F02AEF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31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4AC01CC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Maldives</w:t>
            </w:r>
          </w:p>
        </w:tc>
      </w:tr>
      <w:tr w:rsidR="00695A1A" w:rsidRPr="00326D36" w14:paraId="5214F067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F18584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5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9C0419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Brazil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56298B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32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8849A01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Mauritius</w:t>
            </w:r>
          </w:p>
        </w:tc>
      </w:tr>
      <w:tr w:rsidR="00695A1A" w:rsidRPr="00326D36" w14:paraId="46601964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5789AC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6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1492E54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Brunei Darussalam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8311C1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33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24CC64C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Montenegro</w:t>
            </w:r>
          </w:p>
        </w:tc>
      </w:tr>
      <w:tr w:rsidR="00695A1A" w:rsidRPr="00326D36" w14:paraId="373485F7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BAEB9D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7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0EDE184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Chad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0F16BFA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34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8C84CBA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Nigeria</w:t>
            </w:r>
          </w:p>
        </w:tc>
      </w:tr>
      <w:tr w:rsidR="00695A1A" w:rsidRPr="00326D36" w14:paraId="43ED29BC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041B16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8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900A56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Chile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E95C15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35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47E7F79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North Macedonia</w:t>
            </w:r>
          </w:p>
        </w:tc>
      </w:tr>
      <w:tr w:rsidR="00695A1A" w:rsidRPr="00326D36" w14:paraId="55BFDA18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66F6E5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9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1ABB16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China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87F344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36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38C3AFE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Palau</w:t>
            </w:r>
          </w:p>
        </w:tc>
      </w:tr>
      <w:tr w:rsidR="00695A1A" w:rsidRPr="00326D36" w14:paraId="10990BCC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1EB0EC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10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761E49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Colombia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74941C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37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962DBD9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Paraguay</w:t>
            </w:r>
          </w:p>
        </w:tc>
      </w:tr>
      <w:tr w:rsidR="00695A1A" w:rsidRPr="00326D36" w14:paraId="70F75DA0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663D2A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11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F456CF8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Congo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723179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38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E0BE75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Philippines</w:t>
            </w:r>
          </w:p>
        </w:tc>
      </w:tr>
      <w:tr w:rsidR="00695A1A" w:rsidRPr="00326D36" w14:paraId="79051F0D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CFBC22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12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714BAE" w14:textId="77777777" w:rsidR="00695A1A" w:rsidRDefault="00695A1A" w:rsidP="000719D2">
            <w:pPr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Democratic Republic of the Congo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711832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39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6BA02AB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Qatar*</w:t>
            </w:r>
          </w:p>
        </w:tc>
      </w:tr>
      <w:tr w:rsidR="00695A1A" w:rsidRPr="00326D36" w14:paraId="1C631D0E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853A1F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13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138F9B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Ecuador*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78E6B5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40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437667A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Republic of Korea</w:t>
            </w:r>
          </w:p>
        </w:tc>
      </w:tr>
      <w:tr w:rsidR="00695A1A" w:rsidRPr="00326D36" w14:paraId="038F01D3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15E678C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14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B727F2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Eswatini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8450B2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41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D189814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Rwanda</w:t>
            </w:r>
          </w:p>
        </w:tc>
      </w:tr>
      <w:tr w:rsidR="00695A1A" w:rsidRPr="00326D36" w14:paraId="033B4E17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45A4DD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15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AD28861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Fiji*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C6BFC3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42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8B78378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Samoa</w:t>
            </w:r>
          </w:p>
        </w:tc>
      </w:tr>
      <w:tr w:rsidR="00695A1A" w:rsidRPr="00326D36" w14:paraId="161BFF18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2F8460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16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AF61D4F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Gabon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CF46A7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43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0D63E2C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Saudi Arabia*</w:t>
            </w:r>
          </w:p>
        </w:tc>
      </w:tr>
      <w:tr w:rsidR="00695A1A" w:rsidRPr="00326D36" w14:paraId="5268B145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15FEC7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17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5DC07F0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Georgia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294E65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44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CB121C1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Serbia</w:t>
            </w:r>
          </w:p>
        </w:tc>
      </w:tr>
      <w:tr w:rsidR="00695A1A" w:rsidRPr="00326D36" w14:paraId="4F15F2FA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657AD6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18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1262441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Ghana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49BA83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45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8518D2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Sierra Leone</w:t>
            </w:r>
          </w:p>
        </w:tc>
      </w:tr>
      <w:tr w:rsidR="00695A1A" w:rsidRPr="00326D36" w14:paraId="2432CF78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172DA0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19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C3E0D92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Grenada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9B6798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46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BE1E59E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Singapore*</w:t>
            </w:r>
          </w:p>
        </w:tc>
      </w:tr>
      <w:tr w:rsidR="00695A1A" w:rsidRPr="00326D36" w14:paraId="08892DD9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4DE5D1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20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37657BE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Guinea-Bissau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11058A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47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E0E6016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Sri Lanka</w:t>
            </w:r>
          </w:p>
        </w:tc>
      </w:tr>
      <w:tr w:rsidR="00695A1A" w:rsidRPr="00326D36" w14:paraId="7C352E9A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1B08912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lastRenderedPageBreak/>
              <w:t>21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C872399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Haiti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6D76EE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48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D7853D7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Timor-Leste</w:t>
            </w:r>
          </w:p>
        </w:tc>
      </w:tr>
      <w:tr w:rsidR="00695A1A" w:rsidRPr="00326D36" w14:paraId="0FD513B3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F49BF6F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22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B41D7F8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Honduras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072C58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49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63D1180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Turkey</w:t>
            </w:r>
          </w:p>
        </w:tc>
      </w:tr>
      <w:tr w:rsidR="00695A1A" w:rsidRPr="00326D36" w14:paraId="75B0E1B4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617657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23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205F046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India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DF9341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50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211F0C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Uganda</w:t>
            </w:r>
          </w:p>
        </w:tc>
      </w:tr>
      <w:tr w:rsidR="00695A1A" w:rsidRPr="00326D36" w14:paraId="6FB5CAFA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CFA822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24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271F000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Iran (Islamic Republic of)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110D10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51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2EE938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Ukraine</w:t>
            </w:r>
          </w:p>
        </w:tc>
      </w:tr>
      <w:tr w:rsidR="00695A1A" w:rsidRPr="00326D36" w14:paraId="5ECDB0F0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C38DD85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25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C97052B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Israel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AE11E5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52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F15EC5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United States of America</w:t>
            </w:r>
          </w:p>
        </w:tc>
      </w:tr>
      <w:tr w:rsidR="00695A1A" w:rsidRPr="00326D36" w14:paraId="745EAEED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09CD51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26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7166601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Jamaica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1541C71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53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6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D3D9FD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Uruguay</w:t>
            </w:r>
          </w:p>
        </w:tc>
      </w:tr>
      <w:tr w:rsidR="00695A1A" w:rsidRPr="00326D36" w14:paraId="4EB8C55B" w14:textId="77777777" w:rsidTr="000719D2">
        <w:trPr>
          <w:trHeight w:val="20"/>
        </w:trPr>
        <w:tc>
          <w:tcPr>
            <w:tcW w:w="0" w:type="auto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69A924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27</w:t>
            </w:r>
          </w:p>
        </w:tc>
        <w:tc>
          <w:tcPr>
            <w:tcW w:w="3489" w:type="dxa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38AAB69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Jordan</w:t>
            </w:r>
          </w:p>
        </w:tc>
        <w:tc>
          <w:tcPr>
            <w:tcW w:w="850" w:type="dxa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9DEB330" w14:textId="77777777" w:rsidR="00695A1A" w:rsidRPr="00326D36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</w:pPr>
            <w:r w:rsidRPr="00326D36">
              <w:rPr>
                <w:rFonts w:ascii="Arial" w:hAnsi="Arial" w:cs="Arial"/>
                <w:sz w:val="24"/>
                <w:szCs w:val="24"/>
                <w:shd w:val="clear" w:color="auto" w:fill="FFFFFF"/>
                <w:lang w:val="en-SG"/>
              </w:rPr>
              <w:t>54</w:t>
            </w:r>
          </w:p>
        </w:tc>
        <w:tc>
          <w:tcPr>
            <w:tcW w:w="4395" w:type="dxa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</w:tcBorders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F8CFC53" w14:textId="77777777" w:rsidR="00695A1A" w:rsidRDefault="00695A1A" w:rsidP="000719D2">
            <w:pPr>
              <w:jc w:val="both"/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5BC382B2">
              <w:rPr>
                <w:rFonts w:ascii="Arial" w:hAnsi="Arial" w:cs="Arial"/>
                <w:sz w:val="24"/>
                <w:szCs w:val="24"/>
                <w:lang w:val="en-SG"/>
              </w:rPr>
              <w:t>Venezuela (Bolivarian Republic of)</w:t>
            </w:r>
          </w:p>
        </w:tc>
      </w:tr>
    </w:tbl>
    <w:p w14:paraId="21781FA8" w14:textId="77777777" w:rsidR="00695A1A" w:rsidRPr="00326D36" w:rsidRDefault="00695A1A" w:rsidP="00695A1A">
      <w:pPr>
        <w:jc w:val="both"/>
        <w:rPr>
          <w:rFonts w:ascii="Arial" w:hAnsi="Arial" w:cs="Arial"/>
          <w:shd w:val="clear" w:color="auto" w:fill="FFFFFF"/>
        </w:rPr>
      </w:pPr>
    </w:p>
    <w:p w14:paraId="18634394" w14:textId="77777777" w:rsidR="00695A1A" w:rsidRPr="00E05F61" w:rsidRDefault="00695A1A" w:rsidP="00695A1A">
      <w:pPr>
        <w:jc w:val="both"/>
        <w:rPr>
          <w:rFonts w:ascii="Arial" w:hAnsi="Arial" w:cs="Arial"/>
          <w:shd w:val="clear" w:color="auto" w:fill="FFFFFF"/>
        </w:rPr>
      </w:pPr>
    </w:p>
    <w:p w14:paraId="6A4F5424" w14:textId="77777777" w:rsidR="00695A1A" w:rsidRDefault="00695A1A"/>
    <w:sectPr w:rsidR="00695A1A" w:rsidSect="00711CB3"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659D0" w14:textId="77777777" w:rsidR="00695A1A" w:rsidRDefault="00695A1A" w:rsidP="00695A1A">
      <w:pPr>
        <w:spacing w:after="0" w:line="240" w:lineRule="auto"/>
      </w:pPr>
      <w:r>
        <w:separator/>
      </w:r>
    </w:p>
  </w:endnote>
  <w:endnote w:type="continuationSeparator" w:id="0">
    <w:p w14:paraId="01182FAF" w14:textId="77777777" w:rsidR="00695A1A" w:rsidRDefault="00695A1A" w:rsidP="00695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5ABC2" w14:textId="77777777" w:rsidR="00695A1A" w:rsidRDefault="00695A1A" w:rsidP="00695A1A">
      <w:pPr>
        <w:spacing w:after="0" w:line="240" w:lineRule="auto"/>
      </w:pPr>
      <w:r>
        <w:separator/>
      </w:r>
    </w:p>
  </w:footnote>
  <w:footnote w:type="continuationSeparator" w:id="0">
    <w:p w14:paraId="3BDEDA99" w14:textId="77777777" w:rsidR="00695A1A" w:rsidRDefault="00695A1A" w:rsidP="00695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94E28"/>
    <w:multiLevelType w:val="hybridMultilevel"/>
    <w:tmpl w:val="39980AE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C1264"/>
    <w:multiLevelType w:val="hybridMultilevel"/>
    <w:tmpl w:val="5118901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85B41"/>
    <w:multiLevelType w:val="hybridMultilevel"/>
    <w:tmpl w:val="35B0F4F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1C5212"/>
    <w:multiLevelType w:val="hybridMultilevel"/>
    <w:tmpl w:val="9058262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C30D4C"/>
    <w:multiLevelType w:val="hybridMultilevel"/>
    <w:tmpl w:val="D408BFE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1A"/>
    <w:rsid w:val="0069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2DD39"/>
  <w15:chartTrackingRefBased/>
  <w15:docId w15:val="{1CAC5E43-DB7D-4B7F-9308-D61A6C93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1A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1A"/>
    <w:pPr>
      <w:ind w:left="720"/>
      <w:contextualSpacing/>
    </w:pPr>
  </w:style>
  <w:style w:type="paragraph" w:styleId="NoSpacing">
    <w:name w:val="No Spacing"/>
    <w:uiPriority w:val="1"/>
    <w:qFormat/>
    <w:rsid w:val="00695A1A"/>
    <w:pPr>
      <w:spacing w:after="0" w:line="240" w:lineRule="auto"/>
    </w:pPr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MinLaw</dc:creator>
  <cp:keywords/>
  <dc:description/>
  <cp:lastModifiedBy>MinLaw</cp:lastModifiedBy>
  <cp:revision>1</cp:revision>
  <dcterms:created xsi:type="dcterms:W3CDTF">2021-08-30T15:15:00Z</dcterms:created>
  <dcterms:modified xsi:type="dcterms:W3CDTF">2021-08-30T15:16:00Z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MLAWASSL@soe.sgnet.gov.sg</vt:lpwstr>
  </property>
  <property fmtid="{D5CDD505-2E9C-101B-9397-08002B2CF9AE}" pid="5" name="MSIP_Label_3f9331f7-95a2-472a-92bc-d73219eb516b_SetDate">
    <vt:lpwstr>2021-08-30T15:16:26.6069686Z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8547f71f-0619-4f74-ac2d-4fb7f5836bbc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MLAWASSL@soe.sgnet.gov.sg</vt:lpwstr>
  </property>
  <property fmtid="{D5CDD505-2E9C-101B-9397-08002B2CF9AE}" pid="13" name="MSIP_Label_4f288355-fb4c-44cd-b9ca-40cfc2aee5f8_SetDate">
    <vt:lpwstr>2021-08-30T15:16:26.6069686Z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8547f71f-0619-4f74-ac2d-4fb7f5836bbc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