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96" w:rsidRDefault="00630896">
      <w:pPr>
        <w:spacing w:before="38" w:after="267" w:line="226" w:lineRule="exact"/>
        <w:ind w:left="72" w:right="72"/>
        <w:jc w:val="right"/>
        <w:textAlignment w:val="baseline"/>
        <w:rPr>
          <w:rFonts w:ascii="Century Gothic" w:eastAsia="Century Gothic" w:hAnsi="Century Gothic"/>
          <w:b/>
          <w:color w:val="000000"/>
          <w:spacing w:val="-3"/>
          <w:sz w:val="21"/>
        </w:rPr>
      </w:pPr>
      <w:bookmarkStart w:id="0" w:name="_GoBack"/>
      <w:bookmarkEnd w:id="0"/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322"/>
        <w:gridCol w:w="4589"/>
      </w:tblGrid>
      <w:tr w:rsidR="00630896" w:rsidTr="00770EC6">
        <w:trPr>
          <w:trHeight w:hRule="exact" w:val="6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0896" w:rsidRDefault="00903587">
            <w:pPr>
              <w:spacing w:before="100" w:after="65" w:line="251" w:lineRule="exact"/>
              <w:jc w:val="center"/>
              <w:textAlignment w:val="baseline"/>
              <w:rPr>
                <w:rFonts w:ascii="Century Gothic" w:eastAsia="Century Gothic" w:hAnsi="Century Gothic"/>
                <w:b/>
                <w:color w:val="000000"/>
                <w:sz w:val="21"/>
              </w:rPr>
            </w:pP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 xml:space="preserve">Activity </w:t>
            </w: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br/>
              <w:t>Code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0896" w:rsidRDefault="00BC617D" w:rsidP="00BC617D">
            <w:pPr>
              <w:spacing w:before="100" w:after="65" w:line="251" w:lineRule="exact"/>
              <w:ind w:left="82" w:right="138"/>
              <w:jc w:val="center"/>
              <w:textAlignment w:val="baseline"/>
              <w:rPr>
                <w:rFonts w:ascii="Century Gothic" w:eastAsia="Century Gothic" w:hAnsi="Century Gothic"/>
                <w:b/>
                <w:color w:val="000000"/>
                <w:sz w:val="21"/>
              </w:rPr>
            </w:pP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 xml:space="preserve">CPD Units for Survey </w:t>
            </w:r>
            <w:r w:rsidR="00903587">
              <w:rPr>
                <w:rFonts w:ascii="Century Gothic" w:eastAsia="Century Gothic" w:hAnsi="Century Gothic"/>
                <w:b/>
                <w:color w:val="000000"/>
                <w:sz w:val="21"/>
              </w:rPr>
              <w:t>Related Activity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>
            <w:pPr>
              <w:spacing w:before="251" w:after="190" w:line="226" w:lineRule="exact"/>
              <w:jc w:val="center"/>
              <w:textAlignment w:val="baseline"/>
              <w:rPr>
                <w:rFonts w:ascii="Century Gothic" w:eastAsia="Century Gothic" w:hAnsi="Century Gothic"/>
                <w:b/>
                <w:color w:val="000000"/>
                <w:sz w:val="21"/>
              </w:rPr>
            </w:pP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>Type of Activity</w:t>
            </w:r>
          </w:p>
        </w:tc>
      </w:tr>
      <w:tr w:rsidR="00630896" w:rsidTr="00893BA3">
        <w:trPr>
          <w:trHeight w:val="67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>
            <w:pPr>
              <w:spacing w:before="331" w:after="286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A1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 w:rsidP="00770EC6">
            <w:pPr>
              <w:spacing w:before="180" w:after="156" w:line="259" w:lineRule="exact"/>
              <w:ind w:left="172" w:right="138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2 CPD Units for every hour or part thereof.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 w:rsidP="00893BA3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S</w:t>
            </w:r>
            <w:r w:rsidR="00C22615">
              <w:rPr>
                <w:rFonts w:ascii="Arial" w:eastAsia="Arial" w:hAnsi="Arial"/>
                <w:color w:val="000000"/>
              </w:rPr>
              <w:t>peakers, open-speech, presenter</w:t>
            </w:r>
          </w:p>
        </w:tc>
      </w:tr>
      <w:tr w:rsidR="00630896" w:rsidTr="00770EC6">
        <w:trPr>
          <w:trHeight w:val="115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>
            <w:pPr>
              <w:spacing w:before="413" w:after="367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A2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 w:rsidP="00770EC6">
            <w:pPr>
              <w:spacing w:line="248" w:lineRule="exact"/>
              <w:ind w:left="172" w:right="138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1 CPD Units for every hour or part thereof subject to </w:t>
            </w: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>a maximum of 10 CPD Units per event</w:t>
            </w:r>
            <w:r>
              <w:rPr>
                <w:rFonts w:ascii="Arial" w:eastAsia="Arial" w:hAnsi="Arial"/>
                <w:color w:val="000000"/>
              </w:rPr>
              <w:t>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C22615" w:rsidP="00C22615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Attending </w:t>
            </w:r>
            <w:r w:rsidR="00903587">
              <w:rPr>
                <w:rFonts w:ascii="Arial" w:eastAsia="Arial" w:hAnsi="Arial"/>
                <w:color w:val="000000"/>
              </w:rPr>
              <w:t>lecture,</w:t>
            </w:r>
            <w:r>
              <w:rPr>
                <w:rFonts w:ascii="Arial" w:eastAsia="Arial" w:hAnsi="Arial"/>
                <w:color w:val="000000"/>
              </w:rPr>
              <w:t xml:space="preserve"> </w:t>
            </w:r>
            <w:r w:rsidR="00903587">
              <w:rPr>
                <w:rFonts w:ascii="Arial" w:eastAsia="Arial" w:hAnsi="Arial"/>
                <w:color w:val="000000"/>
              </w:rPr>
              <w:t>seminar,</w:t>
            </w:r>
            <w:r>
              <w:rPr>
                <w:rFonts w:ascii="Arial" w:eastAsia="Arial" w:hAnsi="Arial"/>
                <w:color w:val="000000"/>
              </w:rPr>
              <w:t xml:space="preserve"> w</w:t>
            </w:r>
            <w:r w:rsidR="00903587">
              <w:rPr>
                <w:rFonts w:ascii="Arial" w:eastAsia="Arial" w:hAnsi="Arial"/>
                <w:color w:val="000000"/>
              </w:rPr>
              <w:t>orkshop,</w:t>
            </w:r>
            <w:r>
              <w:rPr>
                <w:rFonts w:ascii="Arial" w:eastAsia="Arial" w:hAnsi="Arial"/>
                <w:color w:val="000000"/>
              </w:rPr>
              <w:t xml:space="preserve"> </w:t>
            </w:r>
            <w:r w:rsidR="00903587">
              <w:rPr>
                <w:rFonts w:ascii="Arial" w:eastAsia="Arial" w:hAnsi="Arial"/>
                <w:color w:val="000000"/>
              </w:rPr>
              <w:t>conference, technical visit</w:t>
            </w:r>
          </w:p>
        </w:tc>
      </w:tr>
      <w:tr w:rsidR="00630896" w:rsidTr="00B46872">
        <w:trPr>
          <w:trHeight w:val="100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>
            <w:pPr>
              <w:spacing w:before="322" w:after="295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B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 w:rsidP="00B46872">
            <w:pPr>
              <w:spacing w:before="61" w:after="40" w:line="251" w:lineRule="exact"/>
              <w:ind w:left="172" w:right="138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1 CPD Unit for every hour or part thereof, subject to a </w:t>
            </w: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>maximum 4 CPD Units.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 w:rsidP="00C22615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Discussion, meeting that are </w:t>
            </w:r>
            <w:proofErr w:type="spellStart"/>
            <w:r>
              <w:rPr>
                <w:rFonts w:ascii="Arial" w:eastAsia="Arial" w:hAnsi="Arial"/>
                <w:color w:val="000000"/>
              </w:rPr>
              <w:t>formalised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in structures, committee, sub-committee</w:t>
            </w:r>
          </w:p>
        </w:tc>
      </w:tr>
      <w:tr w:rsidR="00630896" w:rsidTr="00C22615">
        <w:trPr>
          <w:trHeight w:val="100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>
            <w:pPr>
              <w:spacing w:before="326" w:after="286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C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Pr="00705012" w:rsidRDefault="00903587" w:rsidP="00B46872">
            <w:pPr>
              <w:spacing w:before="60" w:after="36" w:line="251" w:lineRule="exact"/>
              <w:ind w:left="172" w:right="138"/>
              <w:textAlignment w:val="baseline"/>
              <w:rPr>
                <w:rFonts w:ascii="Arial" w:eastAsia="Arial" w:hAnsi="Arial"/>
              </w:rPr>
            </w:pPr>
            <w:r w:rsidRPr="00705012">
              <w:rPr>
                <w:rFonts w:ascii="Arial" w:eastAsia="Arial" w:hAnsi="Arial"/>
              </w:rPr>
              <w:t xml:space="preserve">1 CPD Unit for every 2 hours subject to </w:t>
            </w:r>
            <w:r w:rsidRPr="00705012">
              <w:rPr>
                <w:rFonts w:ascii="Century Gothic" w:eastAsia="Century Gothic" w:hAnsi="Century Gothic"/>
                <w:b/>
                <w:sz w:val="21"/>
              </w:rPr>
              <w:t>maximum of 8 CPD Units</w:t>
            </w:r>
            <w:r w:rsidR="009A0BCD">
              <w:rPr>
                <w:rFonts w:ascii="Century Gothic" w:eastAsia="Century Gothic" w:hAnsi="Century Gothic"/>
                <w:b/>
                <w:sz w:val="21"/>
              </w:rPr>
              <w:t xml:space="preserve"> per year</w:t>
            </w:r>
            <w:r w:rsidRPr="00705012">
              <w:rPr>
                <w:rFonts w:ascii="Arial" w:eastAsia="Arial" w:hAnsi="Arial"/>
              </w:rPr>
              <w:t>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Pr="00C22615" w:rsidRDefault="00BC617D" w:rsidP="00C22615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 w:rsidRPr="00C22615">
              <w:rPr>
                <w:rFonts w:ascii="Arial" w:eastAsia="Arial" w:hAnsi="Arial"/>
                <w:color w:val="000000"/>
              </w:rPr>
              <w:t>Lecturing</w:t>
            </w:r>
            <w:r w:rsidR="00770EC6" w:rsidRPr="00C22615">
              <w:rPr>
                <w:rFonts w:ascii="Arial" w:eastAsia="Arial" w:hAnsi="Arial"/>
                <w:color w:val="000000"/>
              </w:rPr>
              <w:t>/</w:t>
            </w:r>
            <w:r w:rsidRPr="00C22615">
              <w:rPr>
                <w:rFonts w:ascii="Arial" w:eastAsia="Arial" w:hAnsi="Arial"/>
                <w:color w:val="000000"/>
              </w:rPr>
              <w:t xml:space="preserve">Teaching </w:t>
            </w:r>
            <w:r w:rsidR="00770EC6" w:rsidRPr="00C22615">
              <w:rPr>
                <w:rFonts w:ascii="Arial" w:eastAsia="Arial" w:hAnsi="Arial"/>
                <w:color w:val="000000"/>
              </w:rPr>
              <w:t>or</w:t>
            </w:r>
            <w:r w:rsidRPr="00C22615">
              <w:rPr>
                <w:rFonts w:ascii="Arial" w:eastAsia="Arial" w:hAnsi="Arial"/>
                <w:color w:val="000000"/>
              </w:rPr>
              <w:t xml:space="preserve"> Attending full-time </w:t>
            </w:r>
            <w:r w:rsidR="00903587" w:rsidRPr="00C22615">
              <w:rPr>
                <w:rFonts w:ascii="Arial" w:eastAsia="Arial" w:hAnsi="Arial"/>
                <w:color w:val="000000"/>
              </w:rPr>
              <w:t>or</w:t>
            </w:r>
            <w:r w:rsidRPr="00C22615">
              <w:rPr>
                <w:rFonts w:ascii="Arial" w:eastAsia="Arial" w:hAnsi="Arial"/>
                <w:color w:val="000000"/>
              </w:rPr>
              <w:t xml:space="preserve"> part-time </w:t>
            </w:r>
            <w:r w:rsidR="00903587" w:rsidRPr="00C22615">
              <w:rPr>
                <w:rFonts w:ascii="Arial" w:eastAsia="Arial" w:hAnsi="Arial"/>
                <w:color w:val="000000"/>
              </w:rPr>
              <w:t>course</w:t>
            </w:r>
            <w:r w:rsidRPr="00C22615">
              <w:rPr>
                <w:rFonts w:ascii="Arial" w:eastAsia="Arial" w:hAnsi="Arial"/>
                <w:color w:val="000000"/>
              </w:rPr>
              <w:t xml:space="preserve"> leading to c</w:t>
            </w:r>
            <w:r w:rsidR="00903587" w:rsidRPr="00C22615">
              <w:rPr>
                <w:rFonts w:ascii="Arial" w:eastAsia="Arial" w:hAnsi="Arial"/>
                <w:color w:val="000000"/>
              </w:rPr>
              <w:t>ertificate</w:t>
            </w:r>
            <w:r w:rsidRPr="00C22615">
              <w:rPr>
                <w:rFonts w:ascii="Arial" w:eastAsia="Arial" w:hAnsi="Arial"/>
                <w:color w:val="000000"/>
              </w:rPr>
              <w:t xml:space="preserve"> of passing exam or </w:t>
            </w:r>
            <w:r w:rsidR="00903587" w:rsidRPr="00C22615">
              <w:rPr>
                <w:rFonts w:ascii="Arial" w:eastAsia="Arial" w:hAnsi="Arial"/>
                <w:color w:val="000000"/>
              </w:rPr>
              <w:t>certificate of attendance.</w:t>
            </w:r>
          </w:p>
        </w:tc>
      </w:tr>
      <w:tr w:rsidR="00630896" w:rsidTr="00C22615">
        <w:trPr>
          <w:trHeight w:val="100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>
            <w:pPr>
              <w:spacing w:before="327" w:after="281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D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903587" w:rsidP="00B46872">
            <w:pPr>
              <w:spacing w:before="60" w:after="32" w:line="251" w:lineRule="exact"/>
              <w:ind w:left="172" w:right="138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1 CPD Unit for every 2 hours subject to </w:t>
            </w: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>maximum of 8 CPD Units</w:t>
            </w:r>
            <w:r w:rsidR="009A0BCD">
              <w:rPr>
                <w:rFonts w:ascii="Century Gothic" w:eastAsia="Century Gothic" w:hAnsi="Century Gothic"/>
                <w:b/>
                <w:color w:val="000000"/>
                <w:sz w:val="21"/>
              </w:rPr>
              <w:t xml:space="preserve"> per year</w:t>
            </w:r>
            <w:r>
              <w:rPr>
                <w:rFonts w:ascii="Arial" w:eastAsia="Arial" w:hAnsi="Arial"/>
                <w:color w:val="000000"/>
              </w:rPr>
              <w:t>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896" w:rsidRDefault="00C22615" w:rsidP="00C22615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Distance learning </w:t>
            </w:r>
            <w:r w:rsidR="00903587">
              <w:rPr>
                <w:rFonts w:ascii="Arial" w:eastAsia="Arial" w:hAnsi="Arial"/>
                <w:color w:val="000000"/>
              </w:rPr>
              <w:t>or</w:t>
            </w:r>
            <w:r>
              <w:rPr>
                <w:rFonts w:ascii="Arial" w:eastAsia="Arial" w:hAnsi="Arial"/>
                <w:color w:val="000000"/>
              </w:rPr>
              <w:t xml:space="preserve"> </w:t>
            </w:r>
            <w:r w:rsidR="00903587">
              <w:rPr>
                <w:rFonts w:ascii="Arial" w:eastAsia="Arial" w:hAnsi="Arial"/>
                <w:color w:val="000000"/>
              </w:rPr>
              <w:t>correspondence</w:t>
            </w:r>
            <w:r>
              <w:rPr>
                <w:rFonts w:ascii="Arial" w:eastAsia="Arial" w:hAnsi="Arial"/>
                <w:color w:val="000000"/>
              </w:rPr>
              <w:t xml:space="preserve"> </w:t>
            </w:r>
            <w:r w:rsidR="00903587">
              <w:rPr>
                <w:rFonts w:ascii="Arial" w:eastAsia="Arial" w:hAnsi="Arial"/>
                <w:color w:val="000000"/>
              </w:rPr>
              <w:t>course leading to certificate of passing exam or certificate of attendance.</w:t>
            </w:r>
          </w:p>
        </w:tc>
      </w:tr>
      <w:tr w:rsidR="00BC617D" w:rsidTr="00B46872">
        <w:trPr>
          <w:trHeight w:val="100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C617D" w:rsidRDefault="00BC617D">
            <w:pPr>
              <w:spacing w:before="327" w:after="281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E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C617D" w:rsidRDefault="00BC617D" w:rsidP="00B46872">
            <w:pPr>
              <w:spacing w:before="60" w:after="32" w:line="251" w:lineRule="exact"/>
              <w:ind w:left="172" w:right="138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1 CPD Unit per article subject to </w:t>
            </w: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>maximum of 2 CPD Units per year</w:t>
            </w:r>
            <w:r>
              <w:rPr>
                <w:rFonts w:ascii="Arial" w:eastAsia="Arial" w:hAnsi="Arial"/>
                <w:color w:val="000000"/>
              </w:rPr>
              <w:t>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C617D" w:rsidRDefault="00BC617D" w:rsidP="00C22615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Reading of articles, paper, textbooks, </w:t>
            </w:r>
            <w:proofErr w:type="gramStart"/>
            <w:r>
              <w:rPr>
                <w:rFonts w:ascii="Arial" w:eastAsia="Arial" w:hAnsi="Arial"/>
                <w:color w:val="000000"/>
              </w:rPr>
              <w:t>e</w:t>
            </w:r>
            <w:proofErr w:type="gramEnd"/>
            <w:r>
              <w:rPr>
                <w:rFonts w:ascii="Arial" w:eastAsia="Arial" w:hAnsi="Arial"/>
                <w:color w:val="000000"/>
              </w:rPr>
              <w:t>-books. Viewing of CD-ROM.</w:t>
            </w:r>
          </w:p>
        </w:tc>
      </w:tr>
      <w:tr w:rsidR="00BC617D" w:rsidTr="00C22615">
        <w:trPr>
          <w:trHeight w:val="100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C617D" w:rsidRDefault="00BC617D">
            <w:pPr>
              <w:spacing w:before="327" w:after="281" w:line="237" w:lineRule="exact"/>
              <w:ind w:left="443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F</w:t>
            </w:r>
          </w:p>
        </w:tc>
        <w:tc>
          <w:tcPr>
            <w:tcW w:w="3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C617D" w:rsidRDefault="00BC617D" w:rsidP="00B46872">
            <w:pPr>
              <w:spacing w:before="60" w:after="32" w:line="251" w:lineRule="exact"/>
              <w:ind w:left="172" w:right="138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4 CPD Units per topic subject to </w:t>
            </w:r>
            <w:r>
              <w:rPr>
                <w:rFonts w:ascii="Century Gothic" w:eastAsia="Century Gothic" w:hAnsi="Century Gothic"/>
                <w:b/>
                <w:color w:val="000000"/>
                <w:sz w:val="21"/>
              </w:rPr>
              <w:t>maximum of 12 CPD Units per year</w:t>
            </w:r>
            <w:r>
              <w:rPr>
                <w:rFonts w:ascii="Arial" w:eastAsia="Arial" w:hAnsi="Arial"/>
                <w:color w:val="000000"/>
              </w:rPr>
              <w:t>.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C617D" w:rsidRDefault="00C22615" w:rsidP="00C22615">
            <w:pPr>
              <w:ind w:left="187" w:right="173"/>
              <w:jc w:val="both"/>
              <w:textAlignment w:val="baseline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Authorship of published </w:t>
            </w:r>
            <w:r w:rsidR="00BC617D">
              <w:rPr>
                <w:rFonts w:ascii="Arial" w:eastAsia="Arial" w:hAnsi="Arial"/>
                <w:color w:val="000000"/>
              </w:rPr>
              <w:t>work</w:t>
            </w:r>
            <w:r>
              <w:rPr>
                <w:rFonts w:ascii="Arial" w:eastAsia="Arial" w:hAnsi="Arial"/>
                <w:color w:val="000000"/>
              </w:rPr>
              <w:t xml:space="preserve"> </w:t>
            </w:r>
            <w:r w:rsidR="00BC617D">
              <w:rPr>
                <w:rFonts w:ascii="Arial" w:eastAsia="Arial" w:hAnsi="Arial"/>
                <w:color w:val="000000"/>
              </w:rPr>
              <w:t>(i.e.</w:t>
            </w:r>
            <w:r>
              <w:rPr>
                <w:rFonts w:ascii="Arial" w:eastAsia="Arial" w:hAnsi="Arial"/>
                <w:color w:val="000000"/>
              </w:rPr>
              <w:t xml:space="preserve"> n</w:t>
            </w:r>
            <w:r w:rsidR="00BC617D">
              <w:rPr>
                <w:rFonts w:ascii="Arial" w:eastAsia="Arial" w:hAnsi="Arial"/>
                <w:color w:val="000000"/>
              </w:rPr>
              <w:t>ewsletter).</w:t>
            </w:r>
          </w:p>
        </w:tc>
      </w:tr>
    </w:tbl>
    <w:p w:rsidR="00630896" w:rsidRPr="00A33387" w:rsidRDefault="00630896">
      <w:pPr>
        <w:spacing w:after="256" w:line="20" w:lineRule="exact"/>
        <w:rPr>
          <w:sz w:val="20"/>
          <w:szCs w:val="20"/>
        </w:rPr>
      </w:pPr>
    </w:p>
    <w:p w:rsidR="00770EC6" w:rsidRPr="00A33387" w:rsidRDefault="00770EC6">
      <w:pPr>
        <w:spacing w:before="32" w:line="226" w:lineRule="exact"/>
        <w:ind w:left="72"/>
        <w:textAlignment w:val="baseline"/>
        <w:rPr>
          <w:rFonts w:ascii="Century Gothic" w:eastAsia="Century Gothic" w:hAnsi="Century Gothic"/>
          <w:b/>
          <w:color w:val="000000"/>
          <w:spacing w:val="-8"/>
          <w:sz w:val="20"/>
          <w:szCs w:val="20"/>
        </w:rPr>
      </w:pPr>
    </w:p>
    <w:p w:rsidR="00630896" w:rsidRPr="00A33387" w:rsidRDefault="00903587" w:rsidP="00A33387">
      <w:pPr>
        <w:ind w:left="72"/>
        <w:textAlignment w:val="baseline"/>
        <w:rPr>
          <w:rFonts w:ascii="Arial" w:eastAsia="Century Gothic" w:hAnsi="Arial" w:cs="Arial"/>
          <w:b/>
          <w:color w:val="000000"/>
          <w:spacing w:val="-8"/>
          <w:sz w:val="21"/>
          <w:szCs w:val="21"/>
        </w:rPr>
      </w:pPr>
      <w:r w:rsidRPr="00A33387">
        <w:rPr>
          <w:rFonts w:ascii="Arial" w:eastAsia="Century Gothic" w:hAnsi="Arial" w:cs="Arial"/>
          <w:b/>
          <w:color w:val="000000"/>
          <w:spacing w:val="-8"/>
          <w:sz w:val="21"/>
          <w:szCs w:val="21"/>
        </w:rPr>
        <w:t>Notes:</w:t>
      </w:r>
    </w:p>
    <w:p w:rsidR="00630896" w:rsidRPr="00A33387" w:rsidRDefault="00903587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Th</w:t>
      </w:r>
      <w:r w:rsidR="00BC617D" w:rsidRPr="00A33387">
        <w:rPr>
          <w:rFonts w:ascii="Arial" w:eastAsia="Arial" w:hAnsi="Arial" w:cs="Arial"/>
          <w:color w:val="000000"/>
          <w:sz w:val="21"/>
          <w:szCs w:val="21"/>
        </w:rPr>
        <w:t>e above comes into effect from 1</w:t>
      </w:r>
      <w:r w:rsidRPr="00A33387">
        <w:rPr>
          <w:rFonts w:ascii="Arial" w:eastAsia="Arial" w:hAnsi="Arial" w:cs="Arial"/>
          <w:color w:val="000000"/>
          <w:sz w:val="21"/>
          <w:szCs w:val="21"/>
        </w:rPr>
        <w:t xml:space="preserve"> December 2016.</w:t>
      </w:r>
    </w:p>
    <w:p w:rsidR="00770EC6" w:rsidRPr="00A33387" w:rsidRDefault="00770EC6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Member(s) can claim as many CPD units as he/she can in a year.</w:t>
      </w:r>
    </w:p>
    <w:p w:rsidR="00770EC6" w:rsidRPr="00A33387" w:rsidRDefault="00770EC6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Member(s) requires a minimum of 20 CPD Units each year for renewal of Practicing Certificate.</w:t>
      </w:r>
    </w:p>
    <w:p w:rsidR="00770EC6" w:rsidRPr="00A33387" w:rsidRDefault="00770EC6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A maximum of 20 unclaimed CPD Units each year can be brought forward to the following year.</w:t>
      </w:r>
    </w:p>
    <w:p w:rsidR="00893BA3" w:rsidRPr="00A33387" w:rsidRDefault="00893BA3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Member(s) claiming CPD points under activity A1 to note that</w:t>
      </w:r>
      <w:r w:rsidR="00A33387" w:rsidRPr="00A33387">
        <w:rPr>
          <w:rFonts w:ascii="Arial" w:eastAsia="Arial" w:hAnsi="Arial" w:cs="Arial"/>
          <w:color w:val="000000"/>
          <w:sz w:val="21"/>
          <w:szCs w:val="21"/>
        </w:rPr>
        <w:t xml:space="preserve"> speaker and presenter in this category refers to speaking or presenting in conferences or seminars, where the period of speech or presentation is limited to a few hours (at most), and the speaker is typically not recompensed for his/her time and effort.</w:t>
      </w:r>
      <w:r w:rsidRPr="00A33387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770EC6" w:rsidRPr="00A33387" w:rsidRDefault="00770EC6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 xml:space="preserve">Member(s) claiming CPD points under activity C &amp; D will be requested to submit certificate of passing or attendance. </w:t>
      </w:r>
    </w:p>
    <w:p w:rsidR="00630896" w:rsidRPr="00A33387" w:rsidRDefault="00770EC6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Member(s) claiming CPD points under activity E may be requested to present a summary of the topic of readings.</w:t>
      </w:r>
    </w:p>
    <w:p w:rsidR="00770EC6" w:rsidRPr="00A33387" w:rsidRDefault="00770EC6" w:rsidP="00A33387">
      <w:pPr>
        <w:numPr>
          <w:ilvl w:val="0"/>
          <w:numId w:val="1"/>
        </w:numPr>
        <w:tabs>
          <w:tab w:val="clear" w:pos="648"/>
          <w:tab w:val="left" w:pos="720"/>
        </w:tabs>
        <w:spacing w:before="160"/>
        <w:ind w:right="72" w:hanging="648"/>
        <w:jc w:val="both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A33387">
        <w:rPr>
          <w:rFonts w:ascii="Arial" w:eastAsia="Arial" w:hAnsi="Arial" w:cs="Arial"/>
          <w:color w:val="000000"/>
          <w:sz w:val="21"/>
          <w:szCs w:val="21"/>
        </w:rPr>
        <w:t>Members should write to SISV</w:t>
      </w:r>
      <w:r w:rsidR="009A0BCD" w:rsidRPr="00A33387">
        <w:rPr>
          <w:rFonts w:ascii="Arial" w:eastAsia="Arial" w:hAnsi="Arial" w:cs="Arial"/>
          <w:color w:val="000000"/>
          <w:sz w:val="21"/>
          <w:szCs w:val="21"/>
        </w:rPr>
        <w:t xml:space="preserve"> for advice if they are unsure </w:t>
      </w:r>
      <w:r w:rsidRPr="00A33387">
        <w:rPr>
          <w:rFonts w:ascii="Arial" w:eastAsia="Arial" w:hAnsi="Arial" w:cs="Arial"/>
          <w:color w:val="000000"/>
          <w:sz w:val="21"/>
          <w:szCs w:val="21"/>
        </w:rPr>
        <w:t xml:space="preserve">they are able to claim CPD Units for the events they are participating. </w:t>
      </w:r>
    </w:p>
    <w:sectPr w:rsidR="00770EC6" w:rsidRPr="00A33387" w:rsidSect="00A33387">
      <w:footerReference w:type="default" r:id="rId8"/>
      <w:pgSz w:w="11907" w:h="16839" w:code="9"/>
      <w:pgMar w:top="990" w:right="1440" w:bottom="1080" w:left="1440" w:header="720" w:footer="5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2B" w:rsidRDefault="001A222B" w:rsidP="00903587">
      <w:r>
        <w:separator/>
      </w:r>
    </w:p>
  </w:endnote>
  <w:endnote w:type="continuationSeparator" w:id="0">
    <w:p w:rsidR="001A222B" w:rsidRDefault="001A222B" w:rsidP="0090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entury Gothic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CD" w:rsidRPr="009A0BCD" w:rsidRDefault="00903587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 w:rsidRPr="009A0BCD">
      <w:rPr>
        <w:rFonts w:asciiTheme="minorHAnsi" w:hAnsiTheme="minorHAnsi" w:cstheme="minorHAnsi"/>
        <w:sz w:val="20"/>
        <w:szCs w:val="20"/>
      </w:rPr>
      <w:t xml:space="preserve">Updated: </w:t>
    </w:r>
  </w:p>
  <w:p w:rsidR="00903587" w:rsidRPr="009A0BCD" w:rsidRDefault="009A0BCD">
    <w:pPr>
      <w:pStyle w:val="Footer"/>
      <w:rPr>
        <w:rFonts w:asciiTheme="minorHAnsi" w:hAnsiTheme="minorHAnsi" w:cstheme="minorHAnsi"/>
        <w:sz w:val="20"/>
        <w:szCs w:val="20"/>
      </w:rPr>
    </w:pPr>
    <w:r w:rsidRPr="009A0BCD">
      <w:rPr>
        <w:rFonts w:asciiTheme="minorHAnsi" w:hAnsiTheme="minorHAnsi" w:cstheme="minorHAnsi"/>
        <w:sz w:val="20"/>
        <w:szCs w:val="20"/>
      </w:rPr>
      <w:tab/>
    </w:r>
    <w:r w:rsidRPr="009A0BCD">
      <w:rPr>
        <w:rFonts w:asciiTheme="minorHAnsi" w:hAnsiTheme="minorHAnsi" w:cstheme="minorHAnsi"/>
        <w:sz w:val="20"/>
        <w:szCs w:val="20"/>
      </w:rPr>
      <w:tab/>
    </w:r>
    <w:r w:rsidR="005614BA">
      <w:rPr>
        <w:rFonts w:asciiTheme="minorHAnsi" w:hAnsiTheme="minorHAnsi" w:cstheme="minorHAnsi"/>
        <w:sz w:val="20"/>
        <w:szCs w:val="20"/>
      </w:rPr>
      <w:t>26 Feb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2B" w:rsidRDefault="001A222B" w:rsidP="00903587">
      <w:r>
        <w:separator/>
      </w:r>
    </w:p>
  </w:footnote>
  <w:footnote w:type="continuationSeparator" w:id="0">
    <w:p w:rsidR="001A222B" w:rsidRDefault="001A222B" w:rsidP="0090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4D3D"/>
    <w:multiLevelType w:val="hybridMultilevel"/>
    <w:tmpl w:val="C45C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465DF"/>
    <w:multiLevelType w:val="multilevel"/>
    <w:tmpl w:val="F2568842"/>
    <w:lvl w:ilvl="0">
      <w:start w:val="1"/>
      <w:numFmt w:val="decimal"/>
      <w:lvlText w:val="%1."/>
      <w:lvlJc w:val="left"/>
      <w:pPr>
        <w:tabs>
          <w:tab w:val="left" w:pos="648"/>
        </w:tabs>
        <w:ind w:left="720"/>
      </w:pPr>
      <w:rPr>
        <w:rFonts w:ascii="Arial" w:eastAsia="Arial" w:hAnsi="Arial"/>
        <w:strike w:val="0"/>
        <w:color w:val="000000"/>
        <w:spacing w:val="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96"/>
    <w:rsid w:val="001A222B"/>
    <w:rsid w:val="005614BA"/>
    <w:rsid w:val="00630896"/>
    <w:rsid w:val="006A1C6E"/>
    <w:rsid w:val="00705012"/>
    <w:rsid w:val="00770EC6"/>
    <w:rsid w:val="00893BA3"/>
    <w:rsid w:val="00903587"/>
    <w:rsid w:val="009A0BCD"/>
    <w:rsid w:val="00A33387"/>
    <w:rsid w:val="00B46872"/>
    <w:rsid w:val="00BC617D"/>
    <w:rsid w:val="00C22615"/>
    <w:rsid w:val="00D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6B432E-8FEC-43EC-8AE0-D1660EF6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587"/>
  </w:style>
  <w:style w:type="paragraph" w:styleId="Footer">
    <w:name w:val="footer"/>
    <w:basedOn w:val="Normal"/>
    <w:link w:val="FooterChar"/>
    <w:uiPriority w:val="99"/>
    <w:unhideWhenUsed/>
    <w:rsid w:val="00903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587"/>
  </w:style>
  <w:style w:type="paragraph" w:styleId="ListParagraph">
    <w:name w:val="List Paragraph"/>
    <w:basedOn w:val="Normal"/>
    <w:uiPriority w:val="34"/>
    <w:qFormat/>
    <w:rsid w:val="00A33387"/>
    <w:pPr>
      <w:ind w:left="720"/>
    </w:pPr>
    <w:rPr>
      <w:rFonts w:ascii="Calibri" w:eastAsiaTheme="minorEastAsia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543D-C75A-4BF1-B70A-FFE8533C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Mitsy NG (SLA)</cp:lastModifiedBy>
  <cp:revision>2</cp:revision>
  <cp:lastPrinted>2018-02-23T05:17:00Z</cp:lastPrinted>
  <dcterms:created xsi:type="dcterms:W3CDTF">2018-02-27T08:13:00Z</dcterms:created>
  <dcterms:modified xsi:type="dcterms:W3CDTF">2018-02-27T08:13:00Z</dcterms:modified>
</cp:coreProperties>
</file>