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3B24CA">
      <w:pPr>
        <w:spacing w:after="80"/>
        <w:jc w:val="center"/>
      </w:pPr>
      <w:r>
        <w:rPr>
          <w:rFonts w:ascii="Times New Roman" w:hAnsi="Times New Roman" w:eastAsia="Times New Roman" w:cs="Times New Roman"/>
          <w:b/>
          <w:bCs/>
          <w:sz w:val="36"/>
          <w:szCs w:val="36"/>
        </w:rPr>
        <w:t>Academic Paper Review Report</w:t>
      </w:r>
    </w:p>
    <w:p w14:paraId="2C0BA48D">
      <w:pPr>
        <w:spacing w:after="40"/>
        <w:jc w:val="center"/>
        <w:rPr>
          <w:rFonts w:hint="default"/>
          <w:lang w:val="en-US"/>
        </w:rPr>
      </w:pPr>
      <w:r>
        <w:rPr>
          <w:rFonts w:ascii="Times New Roman" w:hAnsi="Times New Roman" w:eastAsia="Times New Roman" w:cs="Times New Roman"/>
          <w:sz w:val="22"/>
          <w:szCs w:val="22"/>
        </w:rPr>
        <w:t>Reviewer: iso</w:t>
      </w:r>
      <w:r>
        <w:rPr>
          <w:rFonts w:hint="default" w:cs="Times New Roman"/>
          <w:sz w:val="22"/>
          <w:szCs w:val="22"/>
          <w:lang w:val="en-US"/>
        </w:rPr>
        <w:t>mose</w:t>
      </w:r>
    </w:p>
    <w:p w14:paraId="3E9531EC">
      <w:pPr>
        <w:spacing w:after="240"/>
        <w:jc w:val="center"/>
      </w:pPr>
      <w:r>
        <w:rPr>
          <w:rFonts w:ascii="Times New Roman" w:hAnsi="Times New Roman" w:eastAsia="Times New Roman" w:cs="Times New Roman"/>
          <w:sz w:val="22"/>
          <w:szCs w:val="22"/>
        </w:rPr>
        <w:t>Review Date: 2026-05-29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60" w:type="dxa"/>
          <w:bottom w:w="80" w:type="dxa"/>
          <w:right w:w="160" w:type="dxa"/>
        </w:tblCellMar>
      </w:tblPr>
      <w:tblGrid>
        <w:gridCol w:w="2200"/>
        <w:gridCol w:w="7160"/>
      </w:tblGrid>
      <w:tr w14:paraId="147B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7F7"/>
          </w:tcPr>
          <w:p w14:paraId="0D5BCDD0">
            <w:r>
              <w:rPr>
                <w:rFonts w:ascii="Times New Roman" w:hAnsi="Times New Roman" w:eastAsia="Times New Roman" w:cs="Times New Roman"/>
                <w:b/>
                <w:bCs/>
                <w:sz w:val="22"/>
                <w:szCs w:val="22"/>
              </w:rPr>
              <w:t>Paper Title</w:t>
            </w:r>
          </w:p>
        </w:tc>
        <w:tc>
          <w:tcPr>
            <w:tcW w:w="7160" w:type="dxa"/>
            <w:tcBorders>
              <w:top w:val="single" w:color="BFBFBF" w:sz="4" w:space="0"/>
              <w:left w:val="single" w:color="BFBFBF" w:sz="4" w:space="0"/>
              <w:bottom w:val="single" w:color="BFBFBF" w:sz="4" w:space="0"/>
              <w:right w:val="single" w:color="BFBFBF" w:sz="4" w:space="0"/>
            </w:tcBorders>
          </w:tcPr>
          <w:p w14:paraId="20EFA71B">
            <w:r>
              <w:rPr>
                <w:rFonts w:ascii="Times New Roman" w:hAnsi="Times New Roman" w:eastAsia="Times New Roman" w:cs="Times New Roman"/>
                <w:sz w:val="22"/>
                <w:szCs w:val="22"/>
              </w:rPr>
              <w:t>Empirical Modeling of Computational Trade-offs and Constraint Scaling for Classical Cryptographic Primitives in Succinct Zero-Knowledge Proofs</w:t>
            </w:r>
          </w:p>
        </w:tc>
      </w:tr>
      <w:tr w14:paraId="6079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7F7"/>
          </w:tcPr>
          <w:p w14:paraId="411B1E54">
            <w:r>
              <w:rPr>
                <w:rFonts w:ascii="Times New Roman" w:hAnsi="Times New Roman" w:eastAsia="Times New Roman" w:cs="Times New Roman"/>
                <w:b/>
                <w:bCs/>
                <w:sz w:val="22"/>
                <w:szCs w:val="22"/>
              </w:rPr>
              <w:t>Version</w:t>
            </w:r>
          </w:p>
        </w:tc>
        <w:tc>
          <w:tcPr>
            <w:tcW w:w="7160" w:type="dxa"/>
            <w:tcBorders>
              <w:top w:val="single" w:color="BFBFBF" w:sz="4" w:space="0"/>
              <w:left w:val="single" w:color="BFBFBF" w:sz="4" w:space="0"/>
              <w:bottom w:val="single" w:color="BFBFBF" w:sz="4" w:space="0"/>
              <w:right w:val="single" w:color="BFBFBF" w:sz="4" w:space="0"/>
            </w:tcBorders>
          </w:tcPr>
          <w:p w14:paraId="7B870975">
            <w:r>
              <w:rPr>
                <w:rFonts w:ascii="Times New Roman" w:hAnsi="Times New Roman" w:eastAsia="Times New Roman" w:cs="Times New Roman"/>
                <w:sz w:val="22"/>
                <w:szCs w:val="22"/>
              </w:rPr>
              <w:t>1.0</w:t>
            </w:r>
          </w:p>
        </w:tc>
      </w:tr>
      <w:tr w14:paraId="3869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7F7"/>
          </w:tcPr>
          <w:p w14:paraId="2A0C3747">
            <w:r>
              <w:rPr>
                <w:rFonts w:ascii="Times New Roman" w:hAnsi="Times New Roman" w:eastAsia="Times New Roman" w:cs="Times New Roman"/>
                <w:b/>
                <w:bCs/>
                <w:sz w:val="22"/>
                <w:szCs w:val="22"/>
              </w:rPr>
              <w:t>Authors</w:t>
            </w:r>
          </w:p>
        </w:tc>
        <w:tc>
          <w:tcPr>
            <w:tcW w:w="7160" w:type="dxa"/>
            <w:tcBorders>
              <w:top w:val="single" w:color="BFBFBF" w:sz="4" w:space="0"/>
              <w:left w:val="single" w:color="BFBFBF" w:sz="4" w:space="0"/>
              <w:bottom w:val="single" w:color="BFBFBF" w:sz="4" w:space="0"/>
              <w:right w:val="single" w:color="BFBFBF" w:sz="4" w:space="0"/>
            </w:tcBorders>
          </w:tcPr>
          <w:p w14:paraId="2C232656">
            <w:r>
              <w:rPr>
                <w:rFonts w:ascii="Times New Roman" w:hAnsi="Times New Roman" w:eastAsia="Times New Roman" w:cs="Times New Roman"/>
                <w:sz w:val="22"/>
                <w:szCs w:val="22"/>
              </w:rPr>
              <w:t>Abirami S.K, Karpagam G.R</w:t>
            </w:r>
          </w:p>
        </w:tc>
      </w:tr>
      <w:tr w14:paraId="3E7C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60" w:type="dxa"/>
            <w:bottom w:w="80" w:type="dxa"/>
            <w:right w:w="16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7F7"/>
          </w:tcPr>
          <w:p w14:paraId="36010CC8">
            <w:r>
              <w:rPr>
                <w:rFonts w:ascii="Times New Roman" w:hAnsi="Times New Roman" w:eastAsia="Times New Roman" w:cs="Times New Roman"/>
                <w:b/>
                <w:bCs/>
                <w:sz w:val="22"/>
                <w:szCs w:val="22"/>
              </w:rPr>
              <w:t>Journal/Conference</w:t>
            </w:r>
          </w:p>
        </w:tc>
        <w:tc>
          <w:tcPr>
            <w:tcW w:w="7160" w:type="dxa"/>
            <w:tcBorders>
              <w:top w:val="single" w:color="BFBFBF" w:sz="4" w:space="0"/>
              <w:left w:val="single" w:color="BFBFBF" w:sz="4" w:space="0"/>
              <w:bottom w:val="single" w:color="BFBFBF" w:sz="4" w:space="0"/>
              <w:right w:val="single" w:color="BFBFBF" w:sz="4" w:space="0"/>
            </w:tcBorders>
          </w:tcPr>
          <w:p w14:paraId="3F8F3FFD">
            <w:r>
              <w:rPr>
                <w:rFonts w:ascii="Times New Roman" w:hAnsi="Times New Roman" w:eastAsia="Times New Roman" w:cs="Times New Roman"/>
                <w:sz w:val="22"/>
                <w:szCs w:val="22"/>
              </w:rPr>
              <w:t>Scientific Reports</w:t>
            </w:r>
          </w:p>
        </w:tc>
      </w:tr>
    </w:tbl>
    <w:p w14:paraId="25438703">
      <w:pPr>
        <w:spacing w:after="80"/>
      </w:pPr>
    </w:p>
    <w:p w14:paraId="01B48FE5">
      <w:pPr>
        <w:pStyle w:val="2"/>
        <w:spacing w:before="280" w:after="160"/>
      </w:pPr>
      <w:r>
        <w:rPr>
          <w:rFonts w:ascii="Times New Roman" w:hAnsi="Times New Roman" w:eastAsia="Times New Roman" w:cs="Times New Roman"/>
        </w:rPr>
        <w:t>1  Review Summary</w:t>
      </w:r>
    </w:p>
    <w:p w14:paraId="44B9F069">
      <w:pPr>
        <w:spacing w:after="160" w:line="276" w:lineRule="auto"/>
        <w:jc w:val="both"/>
      </w:pPr>
      <w:r>
        <w:rPr>
          <w:rFonts w:ascii="Times New Roman" w:hAnsi="Times New Roman" w:eastAsia="Times New Roman" w:cs="Times New Roman"/>
          <w:sz w:val="22"/>
          <w:szCs w:val="22"/>
        </w:rPr>
        <w:t>This manuscript sets out to characterize, in a reproducible containerized environment, the performance trade-off between classical public-key primitives (ECC and RSA) and their realization inside zero-knowledge proof (ZKP) systems. The paper reports a large classical key-generation latency advantage for ECC (~400x over RSA-2048), a claimed “resource inversion” in which ECC-style circuits consume more prover memory than RSA-style circuits, and two empirical “constraint scaling laws”: a linear law C ≈ 213n + β for ECC-friendly primitives and a multiplicative law C ≈ 10(b·r) + ε for RSA-style iteration. The topic is timely and the containerized, open-data methodology is commendable in spirit.</w:t>
      </w:r>
    </w:p>
    <w:p w14:paraId="4F1687E4">
      <w:pPr>
        <w:spacing w:after="160" w:line="276" w:lineRule="auto"/>
        <w:jc w:val="both"/>
      </w:pPr>
      <w:r>
        <w:rPr>
          <w:rFonts w:ascii="Times New Roman" w:hAnsi="Times New Roman" w:eastAsia="Times New Roman" w:cs="Times New Roman"/>
          <w:sz w:val="22"/>
          <w:szCs w:val="22"/>
        </w:rPr>
        <w:t xml:space="preserve">However, the manuscript has a </w:t>
      </w:r>
      <w:r>
        <w:rPr>
          <w:rFonts w:ascii="Times New Roman" w:hAnsi="Times New Roman" w:eastAsia="Times New Roman" w:cs="Times New Roman"/>
          <w:color w:val="C00000"/>
          <w:sz w:val="22"/>
          <w:szCs w:val="22"/>
        </w:rPr>
        <w:t>fundamental conceptual flaw — the experiments do not actually test the claim the paper makes</w:t>
      </w:r>
      <w:r>
        <w:rPr>
          <w:rFonts w:ascii="Times New Roman" w:hAnsi="Times New Roman" w:eastAsia="Times New Roman" w:cs="Times New Roman"/>
          <w:sz w:val="22"/>
          <w:szCs w:val="22"/>
        </w:rPr>
        <w:t xml:space="preserve"> — compounded by scaling “laws” that are tautological by construction, internally inconsistent numerical reporting, very small sample sizes for the central result, and thin novelty over an already well-studied area. These are not surface defects fixable by editing; they require redesigning the core experiments and reframing the contribution. </w:t>
      </w:r>
      <w:r>
        <w:rPr>
          <w:rFonts w:ascii="Times New Roman" w:hAnsi="Times New Roman" w:eastAsia="Times New Roman" w:cs="Times New Roman"/>
          <w:color w:val="C00000"/>
          <w:sz w:val="22"/>
          <w:szCs w:val="22"/>
        </w:rPr>
        <w:t>Recommendation: Reject.</w:t>
      </w:r>
      <w:r>
        <w:rPr>
          <w:rFonts w:ascii="Times New Roman" w:hAnsi="Times New Roman" w:eastAsia="Times New Roman" w:cs="Times New Roman"/>
          <w:sz w:val="22"/>
          <w:szCs w:val="22"/>
        </w:rPr>
        <w:t xml:space="preserve"> (A substantially redesigned study could be resubmitted; see the constructive path in the closing comments.)</w:t>
      </w:r>
    </w:p>
    <w:p w14:paraId="6BC4077B">
      <w:pPr>
        <w:spacing w:after="160" w:line="276" w:lineRule="auto"/>
        <w:jc w:val="both"/>
      </w:pPr>
      <w:r>
        <w:rPr>
          <w:rFonts w:ascii="Times New Roman" w:hAnsi="Times New Roman" w:eastAsia="Times New Roman" w:cs="Times New Roman"/>
          <w:b/>
          <w:bCs/>
          <w:sz w:val="22"/>
          <w:szCs w:val="22"/>
        </w:rPr>
        <w:t>Key issues:</w:t>
      </w:r>
    </w:p>
    <w:p w14:paraId="3A8B5E56">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The ZKP experiments do not benchmark ECC or RSA. </w:t>
      </w:r>
      <w:r>
        <w:rPr>
          <w:rFonts w:ascii="Times New Roman" w:hAnsi="Times New Roman" w:eastAsia="Times New Roman" w:cs="Times New Roman"/>
          <w:sz w:val="22"/>
          <w:szCs w:val="22"/>
        </w:rPr>
        <w:t xml:space="preserve">The entire framing — title, abstract, “resource inversion,” and the scaling laws — is about ECC vs. RSA inside ZKP. But the circuits actually measured in Sections 5–6 are </w:t>
      </w:r>
      <w:r>
        <w:rPr>
          <w:rFonts w:ascii="Times New Roman" w:hAnsi="Times New Roman" w:eastAsia="Times New Roman" w:cs="Times New Roman"/>
          <w:color w:val="C55A11"/>
          <w:sz w:val="22"/>
          <w:szCs w:val="22"/>
        </w:rPr>
        <w:t>not ECC and not RSA</w:t>
      </w:r>
      <w:r>
        <w:rPr>
          <w:rFonts w:ascii="Times New Roman" w:hAnsi="Times New Roman" w:eastAsia="Times New Roman" w:cs="Times New Roman"/>
          <w:sz w:val="22"/>
          <w:szCs w:val="22"/>
        </w:rPr>
        <w:t>. The “ECC-friendly archetype” is a Poseidon hash construction (pedersenzkid.zok) plus a Merkle tree; the “RSA-style archetype” is an RSA accumulator surrogate (rsaaccumulator.zok) modeling iterated modular exponentiation. Poseidon is a ZK-native hash function, not elliptic-curve cryptography; a modexp accumulator is not the RSA cryptosystem. The paper itself calls them “archetypes” and “surrogates,” yet then draws conclusions about “ECC” and “RSA.” The central narrative is therefore not supported by the data collected.</w:t>
      </w:r>
    </w:p>
    <w:p w14:paraId="5821AF16">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The “scaling laws” are tautologies, not empirical discoveries. </w:t>
      </w:r>
      <w:r>
        <w:rPr>
          <w:rFonts w:ascii="Times New Roman" w:hAnsi="Times New Roman" w:eastAsia="Times New Roman" w:cs="Times New Roman"/>
          <w:sz w:val="22"/>
          <w:szCs w:val="22"/>
        </w:rPr>
        <w:t xml:space="preserve">The circuits are generated by “programmatically rewriting circuit headers” to repeat a fixed unit n times. A chain of n Poseidon permutations necessarily has ~(constraints per permutation)×n constraints; a Merkle tree of depth d necessarily has ~(constraints per level)×d; an accumulator of b-bit exponent repeated r times necessarily costs ~(per-bit)×(b·r). Recovering C ≈ 213n (with R² = 1.0000) is </w:t>
      </w:r>
      <w:bookmarkStart w:id="0" w:name="_GoBack"/>
      <w:bookmarkEnd w:id="0"/>
      <w:r>
        <w:rPr>
          <w:rFonts w:ascii="Times New Roman" w:hAnsi="Times New Roman" w:eastAsia="Times New Roman" w:cs="Times New Roman"/>
          <w:sz w:val="22"/>
          <w:szCs w:val="22"/>
        </w:rPr>
        <w:t xml:space="preserve">arithmetic, not science: 213 is simply the known R1CS cost of one Poseidon permutation. An R² of essentially 1 is a </w:t>
      </w:r>
      <w:r>
        <w:rPr>
          <w:rFonts w:ascii="Times New Roman" w:hAnsi="Times New Roman" w:eastAsia="Times New Roman" w:cs="Times New Roman"/>
          <w:color w:val="C55A11"/>
          <w:sz w:val="22"/>
          <w:szCs w:val="22"/>
        </w:rPr>
        <w:t>red flag</w:t>
      </w:r>
      <w:r>
        <w:rPr>
          <w:rFonts w:ascii="Times New Roman" w:hAnsi="Times New Roman" w:eastAsia="Times New Roman" w:cs="Times New Roman"/>
          <w:sz w:val="22"/>
          <w:szCs w:val="22"/>
        </w:rPr>
        <w:t xml:space="preserve"> that the relationship was built in, not measured.</w:t>
      </w:r>
    </w:p>
    <w:p w14:paraId="216C3E80">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Numbers are internally inconsistent across the manuscript. </w:t>
      </w:r>
      <w:r>
        <w:rPr>
          <w:rFonts w:ascii="Times New Roman" w:hAnsi="Times New Roman" w:eastAsia="Times New Roman" w:cs="Times New Roman"/>
          <w:sz w:val="22"/>
          <w:szCs w:val="22"/>
        </w:rPr>
        <w:t xml:space="preserve">The abstract reports peak memory of </w:t>
      </w:r>
      <w:r>
        <w:rPr>
          <w:rFonts w:ascii="Times New Roman" w:hAnsi="Times New Roman" w:eastAsia="Times New Roman" w:cs="Times New Roman"/>
          <w:color w:val="C55A11"/>
          <w:sz w:val="22"/>
          <w:szCs w:val="22"/>
        </w:rPr>
        <w:t>59.3 MiB vs 46.0 MiB</w:t>
      </w:r>
      <w:r>
        <w:rPr>
          <w:rFonts w:ascii="Times New Roman" w:hAnsi="Times New Roman" w:eastAsia="Times New Roman" w:cs="Times New Roman"/>
          <w:sz w:val="22"/>
          <w:szCs w:val="22"/>
        </w:rPr>
        <w:t xml:space="preserve"> (20–40%), but Table 3 and Section 6.2 report </w:t>
      </w:r>
      <w:r>
        <w:rPr>
          <w:rFonts w:ascii="Times New Roman" w:hAnsi="Times New Roman" w:eastAsia="Times New Roman" w:cs="Times New Roman"/>
          <w:color w:val="C55A11"/>
          <w:sz w:val="22"/>
          <w:szCs w:val="22"/>
        </w:rPr>
        <w:t>66.5 ± 6.5 vs 50.0 ± 1.2 MiB</w:t>
      </w:r>
      <w:r>
        <w:rPr>
          <w:rFonts w:ascii="Times New Roman" w:hAnsi="Times New Roman" w:eastAsia="Times New Roman" w:cs="Times New Roman"/>
          <w:sz w:val="22"/>
          <w:szCs w:val="22"/>
        </w:rPr>
        <w:t xml:space="preserve"> (“33% higher”). Section 4.4 states classical peak memory “close to 95 MiB,” while Section 5.2 reports compile memory of 140–155 MiB and proof memory of 51–57 MiB. “Proving time” is 0.0052/0.0063 s in Table 3 but 0.0342/0.0477 s in Fig. 4B. The scaling constant is variously “213,” “213 ± ε,” and “213–245 constraints per operation” (the latter silently merging Poseidon and Merkle). These discrepancies must be reconciled before any quantitative claim can be trusted.</w:t>
      </w:r>
    </w:p>
    <w:p w14:paraId="7F6DDC80">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The headline “resource inversion” rests on n = 3 and tiny circuits. </w:t>
      </w:r>
      <w:r>
        <w:rPr>
          <w:rFonts w:ascii="Times New Roman" w:hAnsi="Times New Roman" w:eastAsia="Times New Roman" w:cs="Times New Roman"/>
          <w:sz w:val="22"/>
          <w:szCs w:val="22"/>
        </w:rPr>
        <w:t>The flagship finding (Table 3) compares two ~260-constraint circuits with n = 3 replicates, giving 66.5 ± 6.5 vs 50.0 ± 1.2 MiB. The relative standard deviation on the ECC number is ~10%, the circuits are minuscule, and the authors concede the Groth16 backend “dominates the runtime” and “masks” arithmetic differences at this scale. Naming a general “Resource Inversion phenomenon” from a single underpowered comparison at one tiny operating point is unwarranted.</w:t>
      </w:r>
    </w:p>
    <w:p w14:paraId="1D0C2615">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Large-RSA prover resources were never measured. </w:t>
      </w:r>
      <w:r>
        <w:rPr>
          <w:rFonts w:ascii="Times New Roman" w:hAnsi="Times New Roman" w:eastAsia="Times New Roman" w:cs="Times New Roman"/>
          <w:sz w:val="22"/>
          <w:szCs w:val="22"/>
        </w:rPr>
        <w:t>The appendix states the largest RSA configurations run in compile-only mode because full proof generation “may exceed 128 GiB of RAM.” Consequently, the prover-side memory/time conclusions for large RSA are not backed by measurement. The “Compilation Paradox” (RSA compiles faster despite more constraints) is reported as a finding but neither explained nor controlled — it is most plausibly an artifact of compiling many copies of one identical sub-circuit.</w:t>
      </w:r>
    </w:p>
    <w:p w14:paraId="7C419397">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Novelty is thin. </w:t>
      </w:r>
      <w:r>
        <w:rPr>
          <w:rFonts w:ascii="Times New Roman" w:hAnsi="Times New Roman" w:eastAsia="Times New Roman" w:cs="Times New Roman"/>
          <w:sz w:val="22"/>
          <w:szCs w:val="22"/>
        </w:rPr>
        <w:t>The classical ECC-vs-RSA comparison in Section 4 is extensively documented in prior work; the manuscript itself notes its results “match earlier studies.” The constraint costs of Poseidon, Merkle paths, and RSA accumulators are known from their defining papers. Reference [6] already benchmarks ZK-friendly hash functions and SNARK proving systems. The claim of being “the first comprehensive examination” is overstated.</w:t>
      </w:r>
    </w:p>
    <w:p w14:paraId="0B619EAE">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Statistical treatment is shallow and partly misapplied. </w:t>
      </w:r>
      <w:r>
        <w:rPr>
          <w:rFonts w:ascii="Times New Roman" w:hAnsi="Times New Roman" w:eastAsia="Times New Roman" w:cs="Times New Roman"/>
          <w:sz w:val="22"/>
          <w:szCs w:val="22"/>
        </w:rPr>
        <w:t>A t-test yielding “p effectively zero” over 1000 iterations is uninformative (any nonzero effect is significant at that N); reporting it adds nothing. OLS R² is applied to data that is linear by construction. The meaningful comparisons (memory inversion) lack confidence intervals, effect sizes, or adequate replication.</w:t>
      </w:r>
    </w:p>
    <w:p w14:paraId="44FB45C3">
      <w:pPr>
        <w:pStyle w:val="16"/>
        <w:numPr>
          <w:ilvl w:val="0"/>
          <w:numId w:val="1"/>
        </w:numPr>
        <w:spacing w:after="140" w:line="276" w:lineRule="auto"/>
        <w:jc w:val="both"/>
      </w:pPr>
      <w:r>
        <w:rPr>
          <w:rFonts w:ascii="Times New Roman" w:hAnsi="Times New Roman" w:eastAsia="Times New Roman" w:cs="Times New Roman"/>
          <w:b/>
          <w:bCs/>
          <w:sz w:val="22"/>
          <w:szCs w:val="22"/>
        </w:rPr>
        <w:t xml:space="preserve">Writing and presentation need substantial work. </w:t>
      </w:r>
      <w:r>
        <w:rPr>
          <w:rFonts w:ascii="Times New Roman" w:hAnsi="Times New Roman" w:eastAsia="Times New Roman" w:cs="Times New Roman"/>
          <w:sz w:val="22"/>
          <w:szCs w:val="22"/>
        </w:rPr>
        <w:t>Numerous run-together words and typos (“imporant,” “trade-off,although,” “generation.Because,” “level.For,” “faster at 17.99 ± 0.16 seconds.This”), the overloaded use of “ECC” to mean three different things (secp256r1 keygen, Poseidon, “ECC-friendly”), and low-resolution figures whose annotated values disagree with the tables.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微软雅黑"/>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EBF9E6"/>
    <w:multiLevelType w:val="singleLevel"/>
    <w:tmpl w:val="3BEBF9E6"/>
    <w:lvl w:ilvl="0" w:tentative="0">
      <w:start w:val="1"/>
      <w:numFmt w:val="decimal"/>
      <w:lvlText w:val="%1."/>
      <w:lvlJc w:val="left"/>
      <w:pPr>
        <w:ind w:left="5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compatSetting w:name="compatibilityMode" w:uri="http://schemas.microsoft.com/office/word" w:val="15"/>
  </w:compat>
  <w:rsids>
    <w:rsidRoot w:val="00000000"/>
    <w:rsid w:val="C6D3BC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80" w:after="16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spacing w:before="220" w:after="14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向嘉豪</cp:lastModifiedBy>
  <dcterms:modified xsi:type="dcterms:W3CDTF">2026-05-29T15:48:01Z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1033-12.1.2.25882</vt:lpwstr>
  </property>
  <property fmtid="{D5CDD505-2E9C-101B-9397-08002B2CF9AE}" pid="3" name="ICV">
    <vt:lpwstr>D780D1690D9D128EB144196A745457B0_42</vt:lpwstr>
  </property>
</Properties>
</file>