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53844">
      <w:r>
        <w:rPr>
          <w:rFonts w:ascii="Arial" w:hAnsi="Arial" w:eastAsia="Arial" w:cs="Arial"/>
          <w:b/>
          <w:bCs/>
          <w:sz w:val="19"/>
          <w:szCs w:val="19"/>
        </w:rPr>
        <w:t>Manuscript number: E260091</w:t>
      </w:r>
    </w:p>
    <w:p w14:paraId="2F554EA9">
      <w:r>
        <w:rPr>
          <w:rFonts w:ascii="Arial" w:hAnsi="Arial" w:eastAsia="Arial" w:cs="Arial"/>
          <w:b/>
          <w:bCs/>
          <w:sz w:val="19"/>
          <w:szCs w:val="19"/>
        </w:rPr>
        <w:t>Title: A Lightweight and Area-Efficient FPGA Implementation of the CRYSTALS-Dilithium Accelerator</w:t>
      </w:r>
    </w:p>
    <w:p w14:paraId="5BDECF09"/>
    <w:p w14:paraId="20981904">
      <w:r>
        <w:rPr>
          <w:rFonts w:ascii="Arial" w:hAnsi="Arial" w:eastAsia="Arial" w:cs="Arial"/>
          <w:sz w:val="19"/>
          <w:szCs w:val="19"/>
        </w:rPr>
        <w:t xml:space="preserve">This manuscript presents an FPGA-based ML-DSA accelerator for low-altitude IoT scenarios, focusing on a memory-efficient MI-NTT architecture and a LUT-based modular multiplier. The topic is timely and the implementation results are potentially useful. However, the current manuscript still has several presentation and consistency issues that should be corrected before publication. In particular, the table and figure numbering is inconsistent, several charts are not properly cited in the main text, and one experimental phenomenon in Table 1 needs further explanation. </w:t>
      </w:r>
      <w:r>
        <w:rPr>
          <w:rFonts w:ascii="Arial" w:hAnsi="Arial" w:eastAsia="Arial" w:cs="Arial"/>
          <w:b/>
          <w:bCs/>
          <w:sz w:val="19"/>
          <w:szCs w:val="19"/>
        </w:rPr>
        <w:t>Recommendation: Minor Revision.</w:t>
      </w:r>
    </w:p>
    <w:p w14:paraId="1361429C"/>
    <w:p w14:paraId="1674D102">
      <w:pPr>
        <w:pStyle w:val="16"/>
        <w:numPr>
          <w:ilvl w:val="0"/>
          <w:numId w:val="1"/>
        </w:numPr>
      </w:pPr>
      <w:r>
        <w:rPr>
          <w:rFonts w:ascii="Arial" w:hAnsi="Arial" w:eastAsia="Arial" w:cs="Arial"/>
          <w:b/>
          <w:bCs/>
          <w:sz w:val="19"/>
          <w:szCs w:val="19"/>
        </w:rPr>
        <w:t xml:space="preserve">Inconsistent table numbering: </w:t>
      </w:r>
      <w:r>
        <w:rPr>
          <w:rFonts w:ascii="Arial" w:hAnsi="Arial" w:eastAsia="Arial" w:cs="Arial"/>
          <w:sz w:val="19"/>
          <w:szCs w:val="19"/>
        </w:rPr>
        <w:t>The text refers to Table I and Table II, while the visible labels in the manuscript are Table 1 and Table 2. Please unify the numbering style throughout the paper.</w:t>
      </w:r>
    </w:p>
    <w:p w14:paraId="02609D73">
      <w:pPr>
        <w:pStyle w:val="16"/>
        <w:numPr>
          <w:ilvl w:val="0"/>
          <w:numId w:val="1"/>
        </w:numPr>
      </w:pPr>
      <w:r>
        <w:rPr>
          <w:rFonts w:ascii="Arial" w:hAnsi="Arial" w:eastAsia="Arial" w:cs="Arial"/>
          <w:b/>
          <w:bCs/>
          <w:sz w:val="19"/>
          <w:szCs w:val="19"/>
        </w:rPr>
        <w:t xml:space="preserve">Figure reference mismatch: </w:t>
      </w:r>
      <w:r>
        <w:rPr>
          <w:rFonts w:ascii="Arial" w:hAnsi="Arial" w:eastAsia="Arial" w:cs="Arial"/>
          <w:sz w:val="19"/>
          <w:szCs w:val="19"/>
        </w:rPr>
        <w:t>The discussion cites Fig. 12 and Fig. 13, but the visible labels appear to be Figure 9 and Figure 10. Please carefully check all figure cross-references.</w:t>
      </w:r>
    </w:p>
    <w:p w14:paraId="45E4F0D7">
      <w:pPr>
        <w:pStyle w:val="16"/>
        <w:numPr>
          <w:ilvl w:val="0"/>
          <w:numId w:val="1"/>
        </w:numPr>
      </w:pPr>
      <w:r>
        <w:rPr>
          <w:rFonts w:ascii="Arial" w:hAnsi="Arial" w:eastAsia="Arial" w:cs="Arial"/>
          <w:b/>
          <w:bCs/>
          <w:sz w:val="19"/>
          <w:szCs w:val="19"/>
        </w:rPr>
        <w:t xml:space="preserve">Question on Table 1: </w:t>
      </w:r>
      <w:r>
        <w:rPr>
          <w:rFonts w:ascii="Arial" w:hAnsi="Arial" w:eastAsia="Arial" w:cs="Arial"/>
          <w:sz w:val="19"/>
          <w:szCs w:val="19"/>
        </w:rPr>
        <w:t>One Barrett-based result uses fewer hardware resources than another method, but its operating frequency is also the lowest. Please explain this phenomenon more clearly in terms of critical path, carry chain, pipelining, or routing trade-offs.</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AR PL UKai CN"/>
    <w:panose1 w:val="00000000000000000000"/>
    <w:charset w:val="86"/>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SimSun">
    <w:altName w:val="思源黑体 CN"/>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EE674"/>
    <w:multiLevelType w:val="singleLevel"/>
    <w:tmpl w:val="BFFEE674"/>
    <w:lvl w:ilvl="0" w:tentative="0">
      <w:start w:val="1"/>
      <w:numFmt w:val="decimal"/>
      <w:suff w:val="space"/>
      <w:lvlText w:val="%1."/>
      <w:lvlJc w:val="left"/>
      <w:pPr>
        <w:ind w:left="3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5EDBB21B"/>
    <w:rsid w:val="7F7B1396"/>
    <w:rsid w:val="7FF98432"/>
    <w:rsid w:val="F71781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1</TotalTime>
  <ScaleCrop>false</ScaleCrop>
  <LinksUpToDate>false</LinksUpToDate>
  <Application>WPS Office_12.1.2.22571_F1E327BC-269C-435d-A152-05C5408002CA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2026-03-07T11:40:56Z</dcterms:created>
  <dc:creator>Un-named</dc:creator>
  <cp:lastModifiedBy>isomoes</cp:lastModifiedBy>
  <dcterms:modified xsi:type="dcterms:W3CDTF">2026-03-07T11:43:05Z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1033-12.1.2.22571</vt:lpwstr>
  </property>
  <property fmtid="{D5CDD505-2E9C-101B-9397-08002B2CF9AE}" pid="3" name="ICV">
    <vt:lpwstr>2F03A5734D67AC673699A169C43755B9_42</vt:lpwstr>
  </property>
</Properties>
</file>