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19"/>
          <w:szCs w:val="19"/>
        </w:rPr>
        <w:t xml:space="preserve">Manuscript number: TCAS-II-27474-2026</w:t>
      </w:r>
    </w:p>
    <w:p>
      <w:pPr>
        <w:spacing w:after="240" w:before="0"/>
      </w:pPr>
      <w:r>
        <w:rPr>
          <w:rFonts w:ascii="Arial" w:cs="Arial" w:eastAsia="Arial" w:hAnsi="Arial"/>
          <w:b/>
          <w:bCs/>
          <w:sz w:val="19"/>
          <w:szCs w:val="19"/>
        </w:rPr>
        <w:t xml:space="preserve">Title: High-Efficiency Hardware Architectures for the Areion Permutation Family</w:t>
      </w:r>
    </w:p>
    <w:p>
      <w:pPr>
        <w:spacing w:after="120" w:before="0"/>
      </w:pPr>
    </w:p>
    <w:p>
      <w:pPr>
        <w:spacing w:after="240" w:before="0"/>
      </w:pPr>
      <w:r>
        <w:rPr>
          <w:rFonts w:ascii="Arial" w:cs="Arial" w:eastAsia="Arial" w:hAnsi="Arial"/>
          <w:sz w:val="19"/>
          <w:szCs w:val="19"/>
        </w:rPr>
        <w:t xml:space="preserve">This manuscript presents hardware architectures for the Areion permutation family, including a lightweight datapath for Areion-256, a high-throughput datapath for Areion-512, and a sponge-based hash extension named AreionS. The topic is relevant to TCAS-II, but the main technical contribution is not strong enough for publication. The datapath optimizations in Section III are essentially simple datapath splitting and operation reordering: the Areion-256 design shortens a long combinational path and reuses hardware, while the Areion-512 design similarly shortens the critical path to increase the achievable clock frequency. These transformations are too straightforward to establish a sufficiently novel architecture, and the claimed throughput advantage is not convincingly demonstrated because the cycle count is also increased. The performance comparison is also unfair because the baselines are not evaluated under the same configuration, process, synthesis flow, or experimental environment. </w:t>
      </w:r>
      <w:r>
        <w:rPr>
          <w:rFonts w:ascii="Arial" w:cs="Arial" w:eastAsia="Arial" w:hAnsi="Arial"/>
          <w:b/>
          <w:bCs/>
          <w:sz w:val="19"/>
          <w:szCs w:val="19"/>
        </w:rPr>
        <w:t xml:space="preserve">Recommendation: Reject.</w:t>
      </w:r>
    </w:p>
    <w:p>
      <w:pPr>
        <w:spacing w:after="120" w:before="0"/>
      </w:pPr>
    </w:p>
    <w:p>
      <w:pPr>
        <w:pStyle w:val="ListParagraph"/>
        <w:numPr>
          <w:ilvl w:val="0"/>
          <w:numId w:val="2"/>
        </w:numPr>
        <w:spacing w:after="160" w:before="0"/>
      </w:pPr>
      <w:r>
        <w:rPr>
          <w:rFonts w:ascii="Arial" w:cs="Arial" w:eastAsia="Arial" w:hAnsi="Arial"/>
          <w:b/>
          <w:bCs/>
          <w:sz w:val="19"/>
          <w:szCs w:val="19"/>
        </w:rPr>
        <w:t xml:space="preserve">Insufficient architectural novelty: </w:t>
      </w:r>
      <w:r>
        <w:rPr>
          <w:rFonts w:ascii="Arial" w:cs="Arial" w:eastAsia="Arial" w:hAnsi="Arial"/>
          <w:sz w:val="19"/>
          <w:szCs w:val="19"/>
        </w:rPr>
        <w:t xml:space="preserve">The key datapath optimizations are too simple. Areion-256 mainly splits a long path and reuses SubBytes hardware, which naturally reduces area and critical-path delay while increasing the cycle count. This is a standard area-cycle trade-off rather than a strong new architecture.</w:t>
      </w:r>
    </w:p>
    <w:p>
      <w:pPr>
        <w:pStyle w:val="ListParagraph"/>
        <w:numPr>
          <w:ilvl w:val="0"/>
          <w:numId w:val="2"/>
        </w:numPr>
        <w:spacing w:after="160" w:before="0"/>
      </w:pPr>
      <w:r>
        <w:rPr>
          <w:rFonts w:ascii="Arial" w:cs="Arial" w:eastAsia="Arial" w:hAnsi="Arial"/>
          <w:b/>
          <w:bCs/>
          <w:sz w:val="19"/>
          <w:szCs w:val="19"/>
        </w:rPr>
        <w:t xml:space="preserve">Unconvincing Areion-512 throughput claim: </w:t>
      </w:r>
      <w:r>
        <w:rPr>
          <w:rFonts w:ascii="Arial" w:cs="Arial" w:eastAsia="Arial" w:hAnsi="Arial"/>
          <w:sz w:val="19"/>
          <w:szCs w:val="19"/>
        </w:rPr>
        <w:t xml:space="preserve">The Areion-512 design follows a similar idea by shortening the critical path and increasing the possible clock frequency, but it loses the lower cycle count of the reference design. Since throughput depends on both frequency and cycle number, a shorter critical path alone does not prove a better high-throughput architecture.</w:t>
      </w:r>
    </w:p>
    <w:p>
      <w:pPr>
        <w:pStyle w:val="ListParagraph"/>
        <w:numPr>
          <w:ilvl w:val="0"/>
          <w:numId w:val="2"/>
        </w:numPr>
        <w:spacing w:after="160" w:before="0"/>
      </w:pPr>
      <w:r>
        <w:rPr>
          <w:rFonts w:ascii="Arial" w:cs="Arial" w:eastAsia="Arial" w:hAnsi="Arial"/>
          <w:b/>
          <w:bCs/>
          <w:sz w:val="19"/>
          <w:szCs w:val="19"/>
        </w:rPr>
        <w:t xml:space="preserve">Unfair performance comparison: </w:t>
      </w:r>
      <w:r>
        <w:rPr>
          <w:rFonts w:ascii="Arial" w:cs="Arial" w:eastAsia="Arial" w:hAnsi="Arial"/>
          <w:sz w:val="19"/>
          <w:szCs w:val="19"/>
        </w:rPr>
        <w:t xml:space="preserve">The comparisons with SHA-256, Ascon-Hash, and HarakaS are largely cross-paper and cross-technology comparisons. They are not conducted under the same process node, standard-cell library, voltage, timing constraints, synthesis strategy, implementation boundary, or configuration, so they cannot support the claimed performance superiority.</w:t>
      </w:r>
    </w:p>
    <w:p>
      <w:pPr>
        <w:pStyle w:val="ListParagraph"/>
        <w:numPr>
          <w:ilvl w:val="0"/>
          <w:numId w:val="2"/>
        </w:numPr>
        <w:spacing w:after="160" w:before="0"/>
      </w:pPr>
      <w:r>
        <w:rPr>
          <w:rFonts w:ascii="Arial" w:cs="Arial" w:eastAsia="Arial" w:hAnsi="Arial"/>
          <w:b/>
          <w:bCs/>
          <w:sz w:val="19"/>
          <w:szCs w:val="19"/>
        </w:rPr>
        <w:t xml:space="preserve">Weak support for AreionS: </w:t>
      </w:r>
      <w:r>
        <w:rPr>
          <w:rFonts w:ascii="Arial" w:cs="Arial" w:eastAsia="Arial" w:hAnsi="Arial"/>
          <w:sz w:val="19"/>
          <w:szCs w:val="19"/>
        </w:rPr>
        <w:t xml:space="preserve">The sponge-based AreionS construction is specified and justified too briefly. The paper should clearly define padding, domain separation, state handling, output-length rules, and the assumptions behind the security claim. The current discussion is not sufficient for a newly proposed hash construction.</w:t>
      </w:r>
    </w:p>
    <w:p>
      <w:pPr>
        <w:pStyle w:val="ListParagraph"/>
        <w:numPr>
          <w:ilvl w:val="0"/>
          <w:numId w:val="2"/>
        </w:numPr>
        <w:spacing w:after="160" w:before="0"/>
      </w:pPr>
      <w:r>
        <w:rPr>
          <w:rFonts w:ascii="Arial" w:cs="Arial" w:eastAsia="Arial" w:hAnsi="Arial"/>
          <w:b/>
          <w:bCs/>
          <w:sz w:val="19"/>
          <w:szCs w:val="19"/>
        </w:rPr>
        <w:t xml:space="preserve">Insufficient reproducibility and presentation quality: </w:t>
      </w:r>
      <w:r>
        <w:rPr>
          <w:rFonts w:ascii="Arial" w:cs="Arial" w:eastAsia="Arial" w:hAnsi="Arial"/>
          <w:sz w:val="19"/>
          <w:szCs w:val="19"/>
        </w:rPr>
        <w:t xml:space="preserve">The manuscript lacks important synthesis and implementation details, such as timing corners, voltage, switching activity, exact constraints, and whether wrapper/control logic is included consistently. It also contains presentation issues such as template artifacts and speculative process-scaling statements.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2026-05-03T15:12:39.255Z</dcterms:created>
  <dcterms:modified xsi:type="dcterms:W3CDTF">2026-05-03T15:12:39.256Z</dcterms:modified>
</cp:coreProperties>
</file>

<file path=docProps/custom.xml><?xml version="1.0" encoding="utf-8"?>
<Properties xmlns="http://schemas.openxmlformats.org/officeDocument/2006/custom-properties" xmlns:vt="http://schemas.openxmlformats.org/officeDocument/2006/docPropsVTypes"/>
</file>