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rPr>
          <w:sz w:val="28"/>
          <w:szCs w:val="28"/>
        </w:rPr>
      </w:pPr>
      <w:r>
        <w:rPr>
          <w:sz w:val="28"/>
          <w:szCs w:val="28"/>
        </w:rPr>
        <w:t>UART Test Plan</w:t>
      </w:r>
      <w:r>
        <w:rPr>
          <w:sz w:val="28"/>
          <w:szCs w:val="28"/>
        </w:rPr>
        <w:t xml:space="preserve"> Document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>
        <w:rPr>
          <w:b w:val="false"/>
          <w:sz w:val="24"/>
          <w:szCs w:val="24"/>
        </w:rPr>
        <w:t>UARTXRX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50"/>
        <w:gridCol w:w="3344"/>
        <w:gridCol w:w="1455"/>
        <w:gridCol w:w="3511"/>
      </w:tblGrid>
      <w:tr>
        <w:trPr>
          <w:tblHeader w:val="true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Approval: Team/Date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jc w:val="left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50"/>
        <w:gridCol w:w="5984"/>
        <w:gridCol w:w="1201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UART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UART SPECIFICATION (https://ieeexplore.ieee.org/document/9227656)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2.0</w:t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27"/>
        <w:gridCol w:w="6435"/>
        <w:gridCol w:w="1605"/>
      </w:tblGrid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30"/>
        <w:gridCol w:w="7484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Definition</w:t>
            </w:r>
          </w:p>
        </w:tc>
      </w:tr>
      <w:tr>
        <w:trPr>
          <w:trHeight w:val="475" w:hRule="atLeast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UART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Universal Asynchronous Receiver Transmitter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144373190">
            <w:r>
              <w:rPr>
                <w:webHidden/>
                <w:rStyle w:val="IndexLink"/>
              </w:rPr>
              <w:t>1.</w:t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1">
            <w:r>
              <w:rPr>
                <w:webHidden/>
                <w:rStyle w:val="IndexLink"/>
              </w:rPr>
              <w:t>2.</w:t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2">
            <w:r>
              <w:rPr>
                <w:webHidden/>
                <w:rStyle w:val="IndexLink"/>
              </w:rPr>
              <w:t>3.</w:t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3">
            <w:r>
              <w:rPr>
                <w:webHidden/>
                <w:rStyle w:val="IndexLink"/>
              </w:rPr>
              <w:t>4.</w:t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4">
            <w:r>
              <w:rPr>
                <w:webHidden/>
                <w:rStyle w:val="IndexLink"/>
              </w:rPr>
              <w:t>5.</w:t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5">
            <w:r>
              <w:rPr>
                <w:webHidden/>
                <w:rStyle w:val="IndexLink"/>
              </w:rPr>
              <w:t>6.</w:t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6">
            <w:r>
              <w:rPr>
                <w:webHidden/>
                <w:rStyle w:val="IndexLink"/>
              </w:rPr>
              <w:t>1.</w:t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7">
            <w:r>
              <w:rPr>
                <w:webHidden/>
                <w:rStyle w:val="IndexLink"/>
              </w:rPr>
              <w:t>2.</w:t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8">
            <w:r>
              <w:rPr>
                <w:webHidden/>
                <w:rStyle w:val="IndexLink"/>
              </w:rPr>
              <w:t>3.</w:t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9">
            <w:r>
              <w:rPr>
                <w:webHidden/>
                <w:rStyle w:val="IndexLink"/>
              </w:rPr>
              <w:t>7.</w:t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00" w:after="80"/>
        <w:rPr>
          <w:color w:val="000000"/>
        </w:rPr>
      </w:pPr>
      <w:r>
        <w:rPr>
          <w:color w:val="000000"/>
        </w:rPr>
      </w:r>
      <w:bookmarkStart w:id="4" w:name="_w5izqi41kc0z"/>
      <w:bookmarkStart w:id="5" w:name="_w5izqi41kc0z"/>
      <w:bookmarkEnd w:id="5"/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4"/>
      <w:r>
        <w:rPr>
          <w:sz w:val="30"/>
          <w:szCs w:val="30"/>
        </w:rPr>
        <w:t>Scope</w:t>
      </w:r>
      <w:bookmarkEnd w:id="6"/>
    </w:p>
    <w:p>
      <w:pPr>
        <w:pStyle w:val="Normal"/>
        <w:rPr>
          <w:b w:val="false"/>
          <w:b w:val="false"/>
        </w:rPr>
      </w:pPr>
      <w:r>
        <w:rPr>
          <w:b w:val="false"/>
        </w:rPr>
        <w:t>This document describes in detail the test plan and test results for the UARTTXRX module.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7" w:name="_Toc144373195"/>
      <w:r>
        <w:rPr>
          <w:sz w:val="30"/>
          <w:szCs w:val="30"/>
        </w:rPr>
        <w:t xml:space="preserve">Functional </w:t>
      </w:r>
      <w:bookmarkEnd w:id="7"/>
      <w:r>
        <w:rPr>
          <w:sz w:val="30"/>
          <w:szCs w:val="30"/>
        </w:rPr>
        <w:t>Verification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UARTXRX_TP001: Verify that the module implements the interfaces described in the following table: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UARTXRX_F001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visual inspection, compilation warnings, synthesis.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720" w:hanging="0"/>
        <w:rPr/>
      </w:pPr>
      <w:r>
        <w:rPr/>
      </w:r>
    </w:p>
    <w:tbl>
      <w:tblPr>
        <w:tblStyle w:val="a3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64"/>
        <w:gridCol w:w="1440"/>
        <w:gridCol w:w="901"/>
        <w:gridCol w:w="4034"/>
      </w:tblGrid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Direction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>
                <w:rFonts w:eastAsia="Roboto" w:cs="Roboto" w:ascii="Roboto" w:hAnsi="Roboto"/>
                <w:sz w:val="21"/>
                <w:szCs w:val="21"/>
                <w:highlight w:val="white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clk_50m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Clock Signal</w:t>
            </w:r>
          </w:p>
        </w:tc>
      </w:tr>
      <w:tr>
        <w:trPr>
          <w:trHeight w:val="20" w:hRule="atLeast"/>
        </w:trPr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rst_i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Synchronous Reset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Wr_en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Write enable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Rdy_clr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Clear ready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din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8’b1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8 bit data into tx side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Tx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Uart transmit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Tx_busy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Transmit busy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rdy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Uart rx ready/ valid rx signal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dout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8bit rx data</w:t>
            </w:r>
          </w:p>
        </w:tc>
      </w:tr>
    </w:tbl>
    <w:p>
      <w:pPr>
        <w:pStyle w:val="Normal"/>
        <w:ind w:left="2160" w:hanging="0"/>
        <w:rPr/>
      </w:pPr>
      <w:r>
        <w:rPr/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UARTXRX_TP002:  Verify that module implements the parameters described in the following table: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UARTXRX_F002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visual inspection, compilation warnings, synthesis.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1080" w:hanging="0"/>
        <w:rPr>
          <w:b w:val="false"/>
          <w:b w:val="false"/>
        </w:rPr>
      </w:pPr>
      <w:r>
        <w:rPr>
          <w:b w:val="false"/>
        </w:rPr>
      </w:r>
    </w:p>
    <w:tbl>
      <w:tblPr>
        <w:tblStyle w:val="a4"/>
        <w:tblW w:w="8625" w:type="dxa"/>
        <w:jc w:val="left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25"/>
        <w:gridCol w:w="2400"/>
        <w:gridCol w:w="2400"/>
      </w:tblGrid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</w:tr>
    </w:tbl>
    <w:p>
      <w:pPr>
        <w:pStyle w:val="Normal"/>
        <w:rPr/>
      </w:pPr>
      <w:r>
        <w:rPr/>
      </w:r>
      <w:bookmarkStart w:id="8" w:name="_mb5hxxmccitp"/>
      <w:bookmarkStart w:id="9" w:name="_mb5hxxmccitp"/>
      <w:bookmarkEnd w:id="9"/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UARTXRX_TP003: 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Sequence: 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</w:rPr>
      </w:pPr>
      <w:r>
        <w:rPr>
          <w:b w:val="false"/>
        </w:rPr>
        <w:t>Set baudrate to a standard rate.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</w:rPr>
      </w:pPr>
      <w:r>
        <w:rPr>
          <w:b w:val="false"/>
        </w:rPr>
        <w:t>Drive RX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Verify that dout outputs correct data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Verify that rdy is 1 following transfer completion.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Assert rdy_clr .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Verify that rdy goes low when rdy_clr is asserted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</w:rPr>
      </w:pPr>
      <w:r>
        <w:rPr>
          <w:b w:val="false"/>
        </w:rPr>
        <w:t>UARTXRX_TP003: Module shall track transactions on it rx signal following the uart protocol.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UARTXRX_F003, UARTXRX_F004, UARTXRX_F005, UARTTXRX_F006.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simulation.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UARTXRX_TP004: 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Sequence: 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Load data into din.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Assert wr_en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Verify that dout outputs correct data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Verify that rdy is 1 following transfer completion.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Assert rdy_clr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>Verify that rdy goes low when rdy_clr is asserted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>Verifies: UARTXRX_F003, UARTXRX_F004, UARTXRX_F005, UARTTXRX_F006.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>Methods: simulation.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 xml:space="preserve">Results: </w:t>
      </w:r>
    </w:p>
    <w:p>
      <w:pPr>
        <w:pStyle w:val="Normal"/>
        <w:spacing w:before="0" w:after="0"/>
        <w:ind w:left="117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ind w:left="36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t>TP_UARTTXRX</w:t>
    </w:r>
    <w:r>
      <w:rPr/>
      <w:tab/>
      <w:t>Rev: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774"/>
    <w:pPr>
      <w:widowControl/>
      <w:bidi w:val="0"/>
      <w:spacing w:before="80" w:after="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0" w:after="120"/>
      <w:outlineLvl w:val="1"/>
    </w:pPr>
    <w:rPr>
      <w:b w:val="fals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ts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24ab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spacing w:before="8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3</Pages>
  <Words>332</Words>
  <Characters>1990</Characters>
  <CharactersWithSpaces>2233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2023-08-31T15:38:00Z</dcterms:created>
  <dc:creator>Idris</dc:creator>
  <dc:description/>
  <dc:language>en-US</dc:language>
  <cp:lastModifiedBy/>
  <dcterms:modified xsi:type="dcterms:W3CDTF">2023-09-08T12:22:48Z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