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0A02B" w14:textId="77777777" w:rsidR="00026D5E" w:rsidRPr="00026D5E" w:rsidRDefault="00026D5E" w:rsidP="00026D5E">
      <w:pPr>
        <w:ind w:left="113"/>
        <w:jc w:val="center"/>
        <w:rPr>
          <w:rFonts w:ascii="Times New Roman" w:hAnsi="Times New Roman"/>
          <w:b/>
          <w:bCs/>
          <w:color w:val="000000"/>
          <w:sz w:val="28"/>
          <w:szCs w:val="26"/>
          <w:lang w:val="en-US"/>
        </w:rPr>
      </w:pPr>
      <w:r w:rsidRPr="00026D5E">
        <w:rPr>
          <w:rFonts w:ascii="Times New Roman" w:hAnsi="Times New Roman" w:hint="eastAsia"/>
          <w:b/>
          <w:bCs/>
          <w:color w:val="000000"/>
          <w:sz w:val="28"/>
          <w:szCs w:val="26"/>
          <w:lang w:val="en-US"/>
        </w:rPr>
        <w:t>(Apologies for the multiple postings. Appreciate it if you could distribute this CFP in your network)</w:t>
      </w:r>
    </w:p>
    <w:p w14:paraId="011D5150" w14:textId="235CF965" w:rsidR="00026D5E" w:rsidRPr="00026D5E" w:rsidRDefault="00026D5E" w:rsidP="00026D5E">
      <w:pPr>
        <w:ind w:left="113"/>
        <w:jc w:val="both"/>
        <w:rPr>
          <w:rFonts w:ascii="Times New Roman" w:hAnsi="Times New Roman"/>
          <w:b/>
          <w:bCs/>
          <w:color w:val="000000"/>
          <w:sz w:val="32"/>
          <w:szCs w:val="28"/>
          <w:lang w:val="en-US"/>
        </w:rPr>
      </w:pPr>
      <w:r w:rsidRPr="00026D5E">
        <w:rPr>
          <w:rFonts w:ascii="Times New Roman" w:hAnsi="Times New Roman" w:hint="eastAsia"/>
          <w:b/>
          <w:bCs/>
          <w:color w:val="000000"/>
          <w:sz w:val="32"/>
          <w:szCs w:val="28"/>
          <w:lang w:val="en-US"/>
        </w:rPr>
        <w:t>================================================</w:t>
      </w:r>
    </w:p>
    <w:p w14:paraId="5CC52CAC" w14:textId="77777777" w:rsidR="00026D5E" w:rsidRPr="00026D5E" w:rsidRDefault="00026D5E" w:rsidP="00026D5E">
      <w:pPr>
        <w:ind w:left="113"/>
        <w:jc w:val="center"/>
        <w:rPr>
          <w:rFonts w:ascii="Times New Roman" w:hAnsi="Times New Roman"/>
          <w:b/>
          <w:bCs/>
          <w:color w:val="FF0000"/>
          <w:sz w:val="28"/>
          <w:szCs w:val="26"/>
          <w:lang w:val="en-US"/>
        </w:rPr>
      </w:pPr>
      <w:r w:rsidRPr="00026D5E">
        <w:rPr>
          <w:rFonts w:ascii="Times New Roman" w:hAnsi="Times New Roman"/>
          <w:b/>
          <w:bCs/>
          <w:color w:val="FF0000"/>
          <w:sz w:val="28"/>
          <w:szCs w:val="26"/>
          <w:lang w:val="en-US"/>
        </w:rPr>
        <w:t>28</w:t>
      </w:r>
      <w:r w:rsidRPr="00026D5E">
        <w:rPr>
          <w:rFonts w:ascii="Times New Roman" w:hAnsi="Times New Roman"/>
          <w:b/>
          <w:bCs/>
          <w:color w:val="FF0000"/>
          <w:sz w:val="28"/>
          <w:szCs w:val="26"/>
          <w:vertAlign w:val="superscript"/>
          <w:lang w:val="en-US"/>
        </w:rPr>
        <w:t>th</w:t>
      </w:r>
      <w:r w:rsidRPr="00026D5E">
        <w:rPr>
          <w:rFonts w:ascii="Times New Roman" w:hAnsi="Times New Roman"/>
          <w:b/>
          <w:bCs/>
          <w:color w:val="FF0000"/>
          <w:sz w:val="28"/>
          <w:szCs w:val="26"/>
          <w:lang w:val="en-US"/>
        </w:rPr>
        <w:t xml:space="preserve"> IEEE</w:t>
      </w:r>
      <w:r w:rsidRPr="00026D5E">
        <w:rPr>
          <w:rFonts w:ascii="Times New Roman" w:hAnsi="Times New Roman" w:hint="eastAsia"/>
          <w:b/>
          <w:bCs/>
          <w:color w:val="FF0000"/>
          <w:sz w:val="28"/>
          <w:szCs w:val="26"/>
          <w:lang w:val="en-US"/>
        </w:rPr>
        <w:t xml:space="preserve"> International Symposium on Object/Component/Service-Oriented Real-Time Distributed Computing</w:t>
      </w:r>
    </w:p>
    <w:p w14:paraId="134FAEAF" w14:textId="77777777" w:rsidR="00026D5E" w:rsidRPr="00E039A1" w:rsidRDefault="00026D5E" w:rsidP="00026D5E">
      <w:pPr>
        <w:ind w:left="113"/>
        <w:jc w:val="center"/>
        <w:rPr>
          <w:rFonts w:ascii="Times New Roman" w:hAnsi="Times New Roman"/>
          <w:b/>
          <w:bCs/>
          <w:color w:val="FF0000"/>
          <w:sz w:val="28"/>
          <w:szCs w:val="26"/>
          <w:lang w:val="en-US"/>
        </w:rPr>
      </w:pPr>
      <w:r w:rsidRPr="00E039A1">
        <w:rPr>
          <w:rFonts w:ascii="Times New Roman" w:hAnsi="Times New Roman"/>
          <w:b/>
          <w:bCs/>
          <w:color w:val="FF0000"/>
          <w:sz w:val="28"/>
          <w:szCs w:val="26"/>
          <w:lang w:val="en-US"/>
        </w:rPr>
        <w:t>Toulouse, France.</w:t>
      </w:r>
    </w:p>
    <w:p w14:paraId="72ED399A" w14:textId="77777777" w:rsidR="00026D5E" w:rsidRPr="00E039A1" w:rsidRDefault="00026D5E" w:rsidP="00026D5E">
      <w:pPr>
        <w:ind w:left="113"/>
        <w:jc w:val="center"/>
        <w:rPr>
          <w:rFonts w:ascii="Times New Roman" w:hAnsi="Times New Roman"/>
          <w:b/>
          <w:bCs/>
          <w:color w:val="FF0000"/>
          <w:sz w:val="28"/>
          <w:szCs w:val="26"/>
          <w:lang w:val="en-US"/>
        </w:rPr>
      </w:pPr>
      <w:r w:rsidRPr="00E039A1">
        <w:rPr>
          <w:rFonts w:ascii="Times New Roman" w:hAnsi="Times New Roman"/>
          <w:b/>
          <w:bCs/>
          <w:color w:val="FF0000"/>
          <w:sz w:val="28"/>
          <w:szCs w:val="26"/>
          <w:lang w:val="en-US"/>
        </w:rPr>
        <w:t>May 26-28, 2025</w:t>
      </w:r>
    </w:p>
    <w:p w14:paraId="11C7B478" w14:textId="77777777" w:rsidR="00026D5E" w:rsidRPr="00E039A1" w:rsidRDefault="00026D5E" w:rsidP="00026D5E">
      <w:pPr>
        <w:ind w:left="113"/>
        <w:jc w:val="center"/>
        <w:rPr>
          <w:b/>
          <w:bCs/>
          <w:sz w:val="28"/>
          <w:szCs w:val="28"/>
          <w:lang w:val="en-US"/>
        </w:rPr>
      </w:pPr>
      <w:hyperlink r:id="rId7" w:history="1">
        <w:r w:rsidRPr="00E039A1">
          <w:rPr>
            <w:rFonts w:ascii="Times New Roman" w:hAnsi="Times New Roman" w:cs="Times New Roman"/>
            <w:color w:val="0070C0"/>
            <w:u w:val="single"/>
            <w:lang w:val="en-US"/>
          </w:rPr>
          <w:t>isorc.github.io/2025/</w:t>
        </w:r>
      </w:hyperlink>
    </w:p>
    <w:p w14:paraId="49957259" w14:textId="77777777" w:rsidR="00026D5E" w:rsidRDefault="00026D5E">
      <w:pPr>
        <w:jc w:val="center"/>
        <w:rPr>
          <w:b/>
          <w:sz w:val="28"/>
          <w:szCs w:val="28"/>
          <w:lang w:val="en-US"/>
        </w:rPr>
      </w:pPr>
    </w:p>
    <w:p w14:paraId="00000001" w14:textId="1A9B0EDA" w:rsidR="00B70919" w:rsidRPr="00026D5E" w:rsidRDefault="00000000">
      <w:pPr>
        <w:jc w:val="center"/>
        <w:rPr>
          <w:b/>
          <w:sz w:val="28"/>
          <w:szCs w:val="28"/>
          <w:lang w:val="en-US"/>
        </w:rPr>
      </w:pPr>
      <w:r w:rsidRPr="00026D5E">
        <w:rPr>
          <w:b/>
          <w:sz w:val="28"/>
          <w:szCs w:val="28"/>
          <w:lang w:val="en-US"/>
        </w:rPr>
        <w:t>CALL FOR INDUSTRY PAPERS</w:t>
      </w:r>
    </w:p>
    <w:p w14:paraId="00000002" w14:textId="77777777" w:rsidR="00B70919" w:rsidRPr="00026D5E" w:rsidRDefault="00B70919">
      <w:pPr>
        <w:jc w:val="both"/>
        <w:rPr>
          <w:lang w:val="en-US"/>
        </w:rPr>
      </w:pPr>
    </w:p>
    <w:p w14:paraId="00000003" w14:textId="77777777" w:rsidR="00B70919" w:rsidRPr="00026D5E" w:rsidRDefault="00000000">
      <w:pPr>
        <w:jc w:val="both"/>
        <w:rPr>
          <w:lang w:val="en-US"/>
        </w:rPr>
      </w:pPr>
      <w:r w:rsidRPr="00026D5E">
        <w:rPr>
          <w:lang w:val="en-US"/>
        </w:rPr>
        <w:t xml:space="preserve">The Industry Track at IEEE ISORC 2025 covers all aspects of innovative commercial or industrial-strength recent advances in the design, construction, and use of real-time and distributed computing. </w:t>
      </w:r>
    </w:p>
    <w:p w14:paraId="00000004" w14:textId="77777777" w:rsidR="00B70919" w:rsidRPr="00026D5E" w:rsidRDefault="00000000">
      <w:pPr>
        <w:jc w:val="both"/>
        <w:rPr>
          <w:lang w:val="en-US"/>
        </w:rPr>
      </w:pPr>
      <w:r w:rsidRPr="00026D5E">
        <w:rPr>
          <w:lang w:val="en-US"/>
        </w:rPr>
        <w:t>All papers describing experiences of using  Real-Time and/or Distributed  technology in application or tool development projects are an integral part of the technical program of IEEE ISORC. The Industry Track welcomes contributions about case studies of success stories, as well as discussion reports of obstacles that stand in the way of large-scale adoption of real-time distributed computing, as well as practical orientation and validation related to Case Studies &amp; Applications in this area.</w:t>
      </w:r>
    </w:p>
    <w:p w14:paraId="00000005" w14:textId="77777777" w:rsidR="00B70919" w:rsidRPr="00026D5E" w:rsidRDefault="00000000">
      <w:pPr>
        <w:jc w:val="both"/>
        <w:rPr>
          <w:lang w:val="en-US"/>
        </w:rPr>
      </w:pPr>
      <w:r w:rsidRPr="00026D5E">
        <w:rPr>
          <w:lang w:val="en-US"/>
        </w:rPr>
        <w:t>Across all submissions, emphasis should be put on demonstrating the business value and impact created by using object/component/service-oriented real-time distributed computing technology to address industry real-world problems. They should clearly identify and discuss in detail the issues that represent notable industrial advances. Reports with project metrics supporting their claims are particularly sought, as well as those that show both the benefits and drawbacks of the approaches used in the given project.</w:t>
      </w:r>
    </w:p>
    <w:p w14:paraId="00000006" w14:textId="77777777" w:rsidR="00B70919" w:rsidRPr="00026D5E" w:rsidRDefault="00B70919">
      <w:pPr>
        <w:jc w:val="both"/>
        <w:rPr>
          <w:lang w:val="en-US"/>
        </w:rPr>
      </w:pPr>
    </w:p>
    <w:p w14:paraId="00000007" w14:textId="77777777" w:rsidR="00B70919" w:rsidRPr="00026D5E" w:rsidRDefault="00000000">
      <w:pPr>
        <w:jc w:val="both"/>
        <w:rPr>
          <w:lang w:val="en-US"/>
        </w:rPr>
      </w:pPr>
      <w:r w:rsidRPr="00026D5E">
        <w:rPr>
          <w:lang w:val="en-US"/>
        </w:rPr>
        <w:t xml:space="preserve">We encourage results and ideas from </w:t>
      </w:r>
      <w:r w:rsidRPr="00026D5E">
        <w:rPr>
          <w:b/>
          <w:lang w:val="en-US"/>
        </w:rPr>
        <w:t>companies small and large</w:t>
      </w:r>
      <w:r w:rsidRPr="00026D5E">
        <w:rPr>
          <w:lang w:val="en-US"/>
        </w:rPr>
        <w:t>. Each submission must include at least one author with a non-academic affiliation.</w:t>
      </w:r>
    </w:p>
    <w:p w14:paraId="00000008" w14:textId="77777777" w:rsidR="00B70919" w:rsidRPr="00026D5E" w:rsidRDefault="00B70919">
      <w:pPr>
        <w:jc w:val="both"/>
        <w:rPr>
          <w:lang w:val="en-US"/>
        </w:rPr>
      </w:pPr>
    </w:p>
    <w:p w14:paraId="00000009" w14:textId="77777777" w:rsidR="00B70919" w:rsidRPr="00026D5E" w:rsidRDefault="00000000">
      <w:pPr>
        <w:rPr>
          <w:b/>
          <w:sz w:val="24"/>
          <w:szCs w:val="24"/>
          <w:lang w:val="en-US"/>
        </w:rPr>
      </w:pPr>
      <w:r w:rsidRPr="00026D5E">
        <w:rPr>
          <w:b/>
          <w:sz w:val="24"/>
          <w:szCs w:val="24"/>
          <w:lang w:val="en-US"/>
        </w:rPr>
        <w:t>TOPICS</w:t>
      </w:r>
    </w:p>
    <w:p w14:paraId="0000000A" w14:textId="77777777" w:rsidR="00B70919" w:rsidRPr="00026D5E" w:rsidRDefault="00000000">
      <w:pPr>
        <w:jc w:val="both"/>
        <w:rPr>
          <w:lang w:val="en-US"/>
        </w:rPr>
      </w:pPr>
      <w:r w:rsidRPr="00026D5E">
        <w:rPr>
          <w:lang w:val="en-US"/>
        </w:rPr>
        <w:t>The topics of interest are similar to those in the general conference call for papers. However, the purpose of the Industrial Track is to emphasize the practical issues, observations, and measurements of “real-world” systems and applications and to disseminate information of particular interest to middleware researchers, architects, developers, and administrators.</w:t>
      </w:r>
    </w:p>
    <w:p w14:paraId="0000000B" w14:textId="77777777" w:rsidR="00B70919" w:rsidRPr="00026D5E" w:rsidRDefault="00000000">
      <w:pPr>
        <w:rPr>
          <w:lang w:val="en-US"/>
        </w:rPr>
      </w:pPr>
      <w:r w:rsidRPr="00026D5E">
        <w:rPr>
          <w:lang w:val="en-US"/>
        </w:rPr>
        <w:t xml:space="preserve">Suitable content and topics fall into the exact same range as the main symposium’s list of topics, cf. </w:t>
      </w:r>
      <w:hyperlink r:id="rId8">
        <w:r w:rsidR="00B70919" w:rsidRPr="00026D5E">
          <w:rPr>
            <w:color w:val="1155CC"/>
            <w:u w:val="single"/>
            <w:lang w:val="en-US"/>
          </w:rPr>
          <w:t>https://isorc.github.io/2025/html/cfp.html</w:t>
        </w:r>
      </w:hyperlink>
      <w:r w:rsidRPr="00026D5E">
        <w:rPr>
          <w:lang w:val="en-US"/>
        </w:rPr>
        <w:t>.</w:t>
      </w:r>
    </w:p>
    <w:p w14:paraId="0000000C" w14:textId="77777777" w:rsidR="00B70919" w:rsidRPr="00026D5E" w:rsidRDefault="00B70919">
      <w:pPr>
        <w:jc w:val="both"/>
        <w:rPr>
          <w:b/>
          <w:lang w:val="en-US"/>
        </w:rPr>
      </w:pPr>
    </w:p>
    <w:p w14:paraId="0000000D" w14:textId="77777777" w:rsidR="00B70919" w:rsidRPr="00026D5E" w:rsidRDefault="00000000">
      <w:pPr>
        <w:rPr>
          <w:b/>
          <w:sz w:val="24"/>
          <w:szCs w:val="24"/>
          <w:lang w:val="en-US"/>
        </w:rPr>
      </w:pPr>
      <w:r w:rsidRPr="00026D5E">
        <w:rPr>
          <w:b/>
          <w:sz w:val="24"/>
          <w:szCs w:val="24"/>
          <w:lang w:val="en-US"/>
        </w:rPr>
        <w:t>SUBMISSION GUIDELINES</w:t>
      </w:r>
    </w:p>
    <w:p w14:paraId="0000000E" w14:textId="77777777" w:rsidR="00B70919" w:rsidRPr="00026D5E" w:rsidRDefault="00000000">
      <w:pPr>
        <w:jc w:val="both"/>
        <w:rPr>
          <w:lang w:val="en-US"/>
        </w:rPr>
      </w:pPr>
      <w:r w:rsidRPr="00026D5E">
        <w:rPr>
          <w:lang w:val="en-US"/>
        </w:rPr>
        <w:t xml:space="preserve">The Industrial Track of the ISORC 2025 Conference solicits </w:t>
      </w:r>
      <w:r w:rsidRPr="00026D5E">
        <w:rPr>
          <w:b/>
          <w:lang w:val="en-US"/>
        </w:rPr>
        <w:t xml:space="preserve">up to 10-page </w:t>
      </w:r>
      <w:r w:rsidRPr="00026D5E">
        <w:rPr>
          <w:lang w:val="en-US"/>
        </w:rPr>
        <w:t>papers  (including abstract, figures, tables, and appendices, and references) for presentation during the main conference (single track). A maximum of two extra pages may be purchased during the camera-ready submission of accepted papers. The paper's title must include an "</w:t>
      </w:r>
      <w:r w:rsidRPr="00026D5E">
        <w:rPr>
          <w:b/>
          <w:sz w:val="24"/>
          <w:szCs w:val="24"/>
          <w:lang w:val="en-US"/>
        </w:rPr>
        <w:t>INDUSTRY PAPER:</w:t>
      </w:r>
      <w:r w:rsidRPr="00026D5E">
        <w:rPr>
          <w:lang w:val="en-US"/>
        </w:rPr>
        <w:t>" prefix, which will removed in the camera-ready version.</w:t>
      </w:r>
    </w:p>
    <w:p w14:paraId="0000000F" w14:textId="77777777" w:rsidR="00B70919" w:rsidRPr="00026D5E" w:rsidRDefault="00B70919">
      <w:pPr>
        <w:jc w:val="both"/>
        <w:rPr>
          <w:lang w:val="en-US"/>
        </w:rPr>
      </w:pPr>
    </w:p>
    <w:p w14:paraId="00000010" w14:textId="77777777" w:rsidR="00B70919" w:rsidRPr="00026D5E" w:rsidRDefault="00000000">
      <w:pPr>
        <w:jc w:val="both"/>
        <w:rPr>
          <w:lang w:val="en-US"/>
        </w:rPr>
      </w:pPr>
      <w:r w:rsidRPr="00026D5E">
        <w:rPr>
          <w:lang w:val="en-US"/>
        </w:rPr>
        <w:lastRenderedPageBreak/>
        <w:t xml:space="preserve">All Papers will be included in the IEEE </w:t>
      </w:r>
      <w:proofErr w:type="spellStart"/>
      <w:r w:rsidRPr="00026D5E">
        <w:rPr>
          <w:lang w:val="en-US"/>
        </w:rPr>
        <w:t>Xplorer</w:t>
      </w:r>
      <w:proofErr w:type="spellEnd"/>
      <w:r w:rsidRPr="00026D5E">
        <w:rPr>
          <w:lang w:val="en-US"/>
        </w:rPr>
        <w:t xml:space="preserve"> digital library and all submissions should follow the standard IEEE double-column format using the published IEEE Conference Proceeding templates, available at</w:t>
      </w:r>
    </w:p>
    <w:p w14:paraId="00000011" w14:textId="77777777" w:rsidR="00B70919" w:rsidRPr="00026D5E" w:rsidRDefault="00B70919">
      <w:pPr>
        <w:rPr>
          <w:lang w:val="en-US"/>
        </w:rPr>
      </w:pPr>
      <w:hyperlink r:id="rId9">
        <w:r w:rsidRPr="00026D5E">
          <w:rPr>
            <w:color w:val="1155CC"/>
            <w:u w:val="single"/>
            <w:lang w:val="en-US"/>
          </w:rPr>
          <w:t>http://www.ieee.org/conferences_events/conferences/publishing/templates.html</w:t>
        </w:r>
      </w:hyperlink>
      <w:r w:rsidRPr="00026D5E">
        <w:rPr>
          <w:lang w:val="en-US"/>
        </w:rPr>
        <w:t xml:space="preserve">. </w:t>
      </w:r>
    </w:p>
    <w:p w14:paraId="00000012" w14:textId="77777777" w:rsidR="00B70919" w:rsidRPr="00026D5E" w:rsidRDefault="00B70919">
      <w:pPr>
        <w:jc w:val="both"/>
        <w:rPr>
          <w:lang w:val="en-US"/>
        </w:rPr>
      </w:pPr>
    </w:p>
    <w:p w14:paraId="00000013" w14:textId="77777777" w:rsidR="00B70919" w:rsidRPr="00026D5E" w:rsidRDefault="00000000">
      <w:pPr>
        <w:jc w:val="both"/>
        <w:rPr>
          <w:lang w:val="en-US"/>
        </w:rPr>
      </w:pPr>
      <w:r w:rsidRPr="00026D5E">
        <w:rPr>
          <w:lang w:val="en-US"/>
        </w:rPr>
        <w:t>Each submission will be reviewed by at least two members of the Industrial Track Program Committee. Submissions will be evaluated on the basis of originality, the importance of contribution, technical soundness, evaluation, quality of presentation, and appropriate comparison to related work. The committee as a whole will make final decisions about which submissions to accept for presentation at the conference.</w:t>
      </w:r>
    </w:p>
    <w:p w14:paraId="00000014" w14:textId="77777777" w:rsidR="00B70919" w:rsidRPr="00026D5E" w:rsidRDefault="00B70919">
      <w:pPr>
        <w:jc w:val="both"/>
        <w:rPr>
          <w:lang w:val="en-US"/>
        </w:rPr>
      </w:pPr>
    </w:p>
    <w:p w14:paraId="00000015" w14:textId="77777777" w:rsidR="00B70919" w:rsidRPr="00026D5E" w:rsidRDefault="00000000">
      <w:pPr>
        <w:jc w:val="both"/>
        <w:rPr>
          <w:lang w:val="en-US"/>
        </w:rPr>
      </w:pPr>
      <w:r w:rsidRPr="00026D5E">
        <w:rPr>
          <w:lang w:val="en-US"/>
        </w:rPr>
        <w:t xml:space="preserve">By submitting a paper, you agree that at least one of the authors will attend the conference and present the paper in person. All papers should be submitted via  </w:t>
      </w:r>
      <w:proofErr w:type="spellStart"/>
      <w:r w:rsidRPr="00026D5E">
        <w:rPr>
          <w:lang w:val="en-US"/>
        </w:rPr>
        <w:t>HotCRP</w:t>
      </w:r>
      <w:proofErr w:type="spellEnd"/>
      <w:r w:rsidRPr="00026D5E">
        <w:rPr>
          <w:lang w:val="en-US"/>
        </w:rPr>
        <w:t xml:space="preserve"> website </w:t>
      </w:r>
      <w:hyperlink r:id="rId10">
        <w:r w:rsidR="00B70919" w:rsidRPr="00026D5E">
          <w:rPr>
            <w:color w:val="1155CC"/>
            <w:u w:val="single"/>
            <w:lang w:val="en-US"/>
          </w:rPr>
          <w:t>https://isorc25.hotcrp.com/</w:t>
        </w:r>
      </w:hyperlink>
      <w:r w:rsidRPr="00026D5E">
        <w:rPr>
          <w:lang w:val="en-US"/>
        </w:rPr>
        <w:t xml:space="preserve"> </w:t>
      </w:r>
    </w:p>
    <w:p w14:paraId="00000016" w14:textId="77777777" w:rsidR="00B70919" w:rsidRPr="00026D5E" w:rsidRDefault="00B70919">
      <w:pPr>
        <w:jc w:val="both"/>
        <w:rPr>
          <w:lang w:val="en-US"/>
        </w:rPr>
      </w:pPr>
    </w:p>
    <w:p w14:paraId="00000017" w14:textId="77777777" w:rsidR="00B70919" w:rsidRPr="00026D5E" w:rsidRDefault="00000000">
      <w:pPr>
        <w:jc w:val="both"/>
        <w:rPr>
          <w:lang w:val="en-US"/>
        </w:rPr>
      </w:pPr>
      <w:r w:rsidRPr="00026D5E">
        <w:rPr>
          <w:lang w:val="en-US"/>
        </w:rPr>
        <w:t>For the camera-ready instructions, please visit the camera-ready instructions page.</w:t>
      </w:r>
    </w:p>
    <w:p w14:paraId="00000018" w14:textId="77777777" w:rsidR="00B70919" w:rsidRDefault="00000000">
      <w:pPr>
        <w:rPr>
          <w:b/>
        </w:rPr>
      </w:pPr>
      <w:r>
        <w:rPr>
          <w:b/>
        </w:rPr>
        <w:t>IMPORTANT DATES</w:t>
      </w:r>
    </w:p>
    <w:p w14:paraId="00000019" w14:textId="39920A2F" w:rsidR="00B70919" w:rsidRPr="00026D5E" w:rsidRDefault="00000000">
      <w:pPr>
        <w:numPr>
          <w:ilvl w:val="0"/>
          <w:numId w:val="1"/>
        </w:numPr>
        <w:jc w:val="both"/>
        <w:rPr>
          <w:lang w:val="en-US"/>
        </w:rPr>
      </w:pPr>
      <w:r w:rsidRPr="00026D5E">
        <w:rPr>
          <w:lang w:val="en-US"/>
        </w:rPr>
        <w:t xml:space="preserve">Submission deadline: </w:t>
      </w:r>
      <w:r w:rsidRPr="00DD0A2A">
        <w:rPr>
          <w:b/>
          <w:strike/>
          <w:color w:val="FF0000"/>
          <w:lang w:val="en-US"/>
        </w:rPr>
        <w:t>January 07, 2025</w:t>
      </w:r>
      <w:r w:rsidRPr="00026D5E">
        <w:rPr>
          <w:lang w:val="en-US"/>
        </w:rPr>
        <w:t xml:space="preserve"> </w:t>
      </w:r>
      <w:r w:rsidR="00DD0A2A" w:rsidRPr="00026D5E">
        <w:rPr>
          <w:b/>
          <w:color w:val="FF0000"/>
          <w:lang w:val="en-US"/>
        </w:rPr>
        <w:t xml:space="preserve">January </w:t>
      </w:r>
      <w:r w:rsidR="00DD0A2A">
        <w:rPr>
          <w:b/>
          <w:color w:val="FF0000"/>
          <w:lang w:val="en-US"/>
        </w:rPr>
        <w:t>26</w:t>
      </w:r>
      <w:r w:rsidR="00DD0A2A" w:rsidRPr="00026D5E">
        <w:rPr>
          <w:b/>
          <w:color w:val="FF0000"/>
          <w:lang w:val="en-US"/>
        </w:rPr>
        <w:t>, 2025</w:t>
      </w:r>
      <w:bookmarkStart w:id="0" w:name="_Hlk187254959"/>
      <w:r w:rsidR="00DD0A2A" w:rsidRPr="00026D5E">
        <w:rPr>
          <w:lang w:val="en-US"/>
        </w:rPr>
        <w:t xml:space="preserve"> </w:t>
      </w:r>
      <w:r w:rsidRPr="00026D5E">
        <w:rPr>
          <w:lang w:val="en-US"/>
        </w:rPr>
        <w:t>(</w:t>
      </w:r>
      <w:r w:rsidR="00DD0A2A">
        <w:rPr>
          <w:lang w:val="en-US"/>
        </w:rPr>
        <w:t>AoE</w:t>
      </w:r>
      <w:r w:rsidRPr="00026D5E">
        <w:rPr>
          <w:lang w:val="en-US"/>
        </w:rPr>
        <w:t>)</w:t>
      </w:r>
      <w:bookmarkEnd w:id="0"/>
    </w:p>
    <w:p w14:paraId="0000001A" w14:textId="64AFBE16" w:rsidR="00B70919" w:rsidRPr="00026D5E" w:rsidRDefault="00000000">
      <w:pPr>
        <w:numPr>
          <w:ilvl w:val="0"/>
          <w:numId w:val="1"/>
        </w:numPr>
        <w:jc w:val="both"/>
        <w:rPr>
          <w:lang w:val="en-US"/>
        </w:rPr>
      </w:pPr>
      <w:r w:rsidRPr="00026D5E">
        <w:rPr>
          <w:lang w:val="en-US"/>
        </w:rPr>
        <w:t xml:space="preserve">Acceptance notification: </w:t>
      </w:r>
      <w:r w:rsidRPr="00026D5E">
        <w:rPr>
          <w:b/>
          <w:color w:val="FF0000"/>
          <w:lang w:val="en-US"/>
        </w:rPr>
        <w:t>March 05, 2025</w:t>
      </w:r>
      <w:r w:rsidRPr="00026D5E">
        <w:rPr>
          <w:b/>
          <w:lang w:val="en-US"/>
        </w:rPr>
        <w:t xml:space="preserve"> </w:t>
      </w:r>
      <w:r w:rsidRPr="00026D5E">
        <w:rPr>
          <w:lang w:val="en-US"/>
        </w:rPr>
        <w:t>(</w:t>
      </w:r>
      <w:r w:rsidR="001320AB">
        <w:rPr>
          <w:lang w:val="en-US"/>
        </w:rPr>
        <w:t>AoE</w:t>
      </w:r>
      <w:r w:rsidRPr="00026D5E">
        <w:rPr>
          <w:lang w:val="en-US"/>
        </w:rPr>
        <w:t>)</w:t>
      </w:r>
    </w:p>
    <w:p w14:paraId="0000001B" w14:textId="64B91CD3" w:rsidR="00B70919" w:rsidRPr="00026D5E" w:rsidRDefault="00000000">
      <w:pPr>
        <w:numPr>
          <w:ilvl w:val="0"/>
          <w:numId w:val="1"/>
        </w:numPr>
        <w:jc w:val="both"/>
        <w:rPr>
          <w:lang w:val="en-US"/>
        </w:rPr>
      </w:pPr>
      <w:r w:rsidRPr="00026D5E">
        <w:rPr>
          <w:lang w:val="en-US"/>
        </w:rPr>
        <w:t xml:space="preserve">Camera-ready Submission: </w:t>
      </w:r>
      <w:r w:rsidRPr="00026D5E">
        <w:rPr>
          <w:b/>
          <w:color w:val="FF0000"/>
          <w:lang w:val="en-US"/>
        </w:rPr>
        <w:t>March 20, 2025</w:t>
      </w:r>
      <w:r w:rsidRPr="00026D5E">
        <w:rPr>
          <w:b/>
          <w:lang w:val="en-US"/>
        </w:rPr>
        <w:t xml:space="preserve"> </w:t>
      </w:r>
      <w:r w:rsidRPr="00026D5E">
        <w:rPr>
          <w:lang w:val="en-US"/>
        </w:rPr>
        <w:t>(</w:t>
      </w:r>
      <w:r w:rsidR="001320AB">
        <w:rPr>
          <w:lang w:val="en-US"/>
        </w:rPr>
        <w:t>AoE</w:t>
      </w:r>
      <w:r w:rsidRPr="00026D5E">
        <w:rPr>
          <w:lang w:val="en-US"/>
        </w:rPr>
        <w:t>)</w:t>
      </w:r>
    </w:p>
    <w:p w14:paraId="0000001C" w14:textId="77777777" w:rsidR="00B70919" w:rsidRDefault="00000000">
      <w:pPr>
        <w:numPr>
          <w:ilvl w:val="0"/>
          <w:numId w:val="1"/>
        </w:numPr>
        <w:jc w:val="both"/>
      </w:pPr>
      <w:r>
        <w:t xml:space="preserve">Conference date: </w:t>
      </w:r>
      <w:r>
        <w:rPr>
          <w:b/>
          <w:color w:val="FF0000"/>
        </w:rPr>
        <w:t>May 26-28, 2025</w:t>
      </w:r>
      <w:r>
        <w:rPr>
          <w:b/>
        </w:rPr>
        <w:t xml:space="preserve"> </w:t>
      </w:r>
    </w:p>
    <w:p w14:paraId="0000001D" w14:textId="77777777" w:rsidR="00B70919" w:rsidRDefault="00B70919">
      <w:pPr>
        <w:rPr>
          <w:b/>
        </w:rPr>
      </w:pPr>
    </w:p>
    <w:p w14:paraId="68088417" w14:textId="77777777" w:rsidR="00026D5E" w:rsidRPr="00803AB4" w:rsidRDefault="00026D5E" w:rsidP="00026D5E">
      <w:pPr>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29C061FD" w14:textId="77777777" w:rsidR="00026D5E" w:rsidRPr="00026D5E" w:rsidRDefault="00026D5E" w:rsidP="00026D5E">
      <w:pPr>
        <w:ind w:left="113"/>
        <w:jc w:val="both"/>
        <w:rPr>
          <w:rFonts w:ascii="Times New Roman" w:hAnsi="Times New Roman"/>
          <w:color w:val="000000"/>
          <w:lang w:val="en-US"/>
        </w:rPr>
      </w:pPr>
      <w:r w:rsidRPr="00026D5E">
        <w:rPr>
          <w:rFonts w:ascii="Times New Roman" w:hAnsi="Times New Roman"/>
          <w:color w:val="000000"/>
          <w:lang w:val="en-US"/>
        </w:rPr>
        <w:t xml:space="preserve">More information about IEEE ISORC 2025, including submission guidelines, can be found at: </w:t>
      </w:r>
      <w:hyperlink r:id="rId11" w:history="1">
        <w:r w:rsidRPr="00026D5E">
          <w:rPr>
            <w:rFonts w:ascii="Times New Roman" w:hAnsi="Times New Roman" w:cs="Times New Roman"/>
            <w:color w:val="0070C0"/>
            <w:u w:val="single"/>
            <w:lang w:val="en-US"/>
          </w:rPr>
          <w:t>isorc.github.io/2025/</w:t>
        </w:r>
      </w:hyperlink>
    </w:p>
    <w:p w14:paraId="547BF582" w14:textId="77777777" w:rsidR="00026D5E" w:rsidRPr="00026D5E" w:rsidRDefault="00026D5E" w:rsidP="00026D5E">
      <w:pPr>
        <w:rPr>
          <w:rFonts w:ascii="Times New Roman" w:hAnsi="Times New Roman"/>
          <w:color w:val="000000"/>
          <w:lang w:val="en-US"/>
        </w:rPr>
      </w:pPr>
    </w:p>
    <w:p w14:paraId="32866AD2" w14:textId="77777777" w:rsidR="00026D5E" w:rsidRPr="00026D5E" w:rsidRDefault="00026D5E" w:rsidP="00026D5E">
      <w:pPr>
        <w:ind w:left="113"/>
        <w:jc w:val="both"/>
        <w:rPr>
          <w:rFonts w:ascii="Times New Roman" w:hAnsi="Times New Roman"/>
          <w:b/>
          <w:bCs/>
          <w:color w:val="000000"/>
          <w:sz w:val="32"/>
          <w:szCs w:val="28"/>
          <w:lang w:val="en-US"/>
        </w:rPr>
      </w:pPr>
      <w:bookmarkStart w:id="1" w:name="_Hlk181903313"/>
      <w:r w:rsidRPr="00026D5E">
        <w:rPr>
          <w:rFonts w:ascii="Times New Roman" w:hAnsi="Times New Roman" w:hint="eastAsia"/>
          <w:b/>
          <w:bCs/>
          <w:color w:val="000000"/>
          <w:sz w:val="32"/>
          <w:szCs w:val="28"/>
          <w:lang w:val="en-US"/>
        </w:rPr>
        <w:t>Journal Publication Opportunity</w:t>
      </w:r>
    </w:p>
    <w:bookmarkEnd w:id="1"/>
    <w:p w14:paraId="69BCD806" w14:textId="77777777" w:rsidR="00026D5E" w:rsidRPr="00026D5E" w:rsidRDefault="00026D5E" w:rsidP="00026D5E">
      <w:pPr>
        <w:jc w:val="both"/>
        <w:rPr>
          <w:lang w:val="en-US"/>
        </w:rPr>
      </w:pPr>
      <w:r w:rsidRPr="00026D5E">
        <w:rPr>
          <w:rFonts w:hint="eastAsia"/>
          <w:lang w:val="en-US"/>
        </w:rPr>
        <w:t xml:space="preserve">The authors of selected papers from this symposium will be invited to submit an extended version of their work for </w:t>
      </w:r>
      <w:r w:rsidRPr="00026D5E">
        <w:rPr>
          <w:lang w:val="en-US"/>
        </w:rPr>
        <w:t xml:space="preserve">the </w:t>
      </w:r>
      <w:r w:rsidRPr="00026D5E">
        <w:rPr>
          <w:b/>
          <w:bCs/>
          <w:i/>
          <w:iCs/>
          <w:lang w:val="en-US"/>
        </w:rPr>
        <w:t xml:space="preserve">Special Issue on </w:t>
      </w:r>
      <w:r w:rsidRPr="00026D5E">
        <w:rPr>
          <w:rFonts w:hint="eastAsia"/>
          <w:b/>
          <w:bCs/>
          <w:i/>
          <w:iCs/>
          <w:lang w:val="en-US"/>
        </w:rPr>
        <w:t>AI-Driven Real-Time Distributed Computing for the Edge-Cloud Continuum</w:t>
      </w:r>
      <w:r w:rsidRPr="00026D5E">
        <w:rPr>
          <w:rFonts w:hint="eastAsia"/>
          <w:lang w:val="en-US"/>
        </w:rPr>
        <w:t xml:space="preserve"> review and possible publication in the </w:t>
      </w:r>
      <w:hyperlink r:id="rId12" w:history="1">
        <w:r w:rsidRPr="00026D5E">
          <w:rPr>
            <w:rStyle w:val="Lienhypertexte"/>
            <w:b/>
            <w:bCs/>
            <w:i/>
            <w:iCs/>
            <w:lang w:val="en-US"/>
          </w:rPr>
          <w:t>Elsevier</w:t>
        </w:r>
        <w:r w:rsidRPr="00026D5E">
          <w:rPr>
            <w:rStyle w:val="Lienhypertexte"/>
            <w:rFonts w:hint="eastAsia"/>
            <w:b/>
            <w:bCs/>
            <w:i/>
            <w:iCs/>
            <w:lang w:val="en-US"/>
          </w:rPr>
          <w:t xml:space="preserve"> Journal of Systems Architecture: Embedded Software Design (JSA)</w:t>
        </w:r>
        <w:r w:rsidRPr="00026D5E">
          <w:rPr>
            <w:rStyle w:val="Lienhypertexte"/>
            <w:rFonts w:hint="eastAsia"/>
            <w:lang w:val="en-US"/>
          </w:rPr>
          <w:t>.</w:t>
        </w:r>
      </w:hyperlink>
    </w:p>
    <w:p w14:paraId="40D647C0" w14:textId="77777777" w:rsidR="00026D5E" w:rsidRDefault="00026D5E">
      <w:pPr>
        <w:rPr>
          <w:b/>
          <w:lang w:val="en-US"/>
        </w:rPr>
      </w:pPr>
    </w:p>
    <w:p w14:paraId="3CD23A04" w14:textId="77777777" w:rsidR="00026D5E" w:rsidRDefault="00026D5E">
      <w:pPr>
        <w:rPr>
          <w:b/>
          <w:lang w:val="en-US"/>
        </w:rPr>
      </w:pPr>
    </w:p>
    <w:p w14:paraId="0000001E" w14:textId="778B79F2" w:rsidR="00B70919" w:rsidRPr="00026D5E" w:rsidRDefault="00000000">
      <w:pPr>
        <w:rPr>
          <w:b/>
          <w:lang w:val="en-US"/>
        </w:rPr>
      </w:pPr>
      <w:bookmarkStart w:id="2" w:name="_Hlk182939916"/>
      <w:r w:rsidRPr="00026D5E">
        <w:rPr>
          <w:b/>
          <w:lang w:val="en-US"/>
        </w:rPr>
        <w:t>INDUSTRY TRACK CHAIR AND FURTHER INFORMATION:</w:t>
      </w:r>
    </w:p>
    <w:p w14:paraId="0000001F" w14:textId="77777777" w:rsidR="00B70919" w:rsidRPr="00026D5E" w:rsidRDefault="00000000">
      <w:pPr>
        <w:jc w:val="both"/>
        <w:rPr>
          <w:b/>
          <w:lang w:val="en-US"/>
        </w:rPr>
      </w:pPr>
      <w:r w:rsidRPr="00026D5E">
        <w:rPr>
          <w:lang w:val="en-US"/>
        </w:rPr>
        <w:t>If you have questions or encounter any problems, please notify the Industry Track chair:</w:t>
      </w:r>
    </w:p>
    <w:bookmarkEnd w:id="2"/>
    <w:p w14:paraId="00000020" w14:textId="17698674" w:rsidR="00B70919" w:rsidRDefault="00000000">
      <w:pPr>
        <w:numPr>
          <w:ilvl w:val="0"/>
          <w:numId w:val="2"/>
        </w:numPr>
        <w:rPr>
          <w:b/>
          <w:color w:val="0000FF"/>
        </w:rPr>
      </w:pPr>
      <w:r>
        <w:rPr>
          <w:b/>
          <w:color w:val="0000FF"/>
        </w:rPr>
        <w:t xml:space="preserve">Angelo Corsaro, </w:t>
      </w:r>
      <w:proofErr w:type="spellStart"/>
      <w:r>
        <w:rPr>
          <w:b/>
          <w:color w:val="0000FF"/>
        </w:rPr>
        <w:t>ZettaScale</w:t>
      </w:r>
      <w:proofErr w:type="spellEnd"/>
      <w:r>
        <w:rPr>
          <w:b/>
          <w:color w:val="0000FF"/>
        </w:rPr>
        <w:t xml:space="preserve"> </w:t>
      </w:r>
      <w:proofErr w:type="spellStart"/>
      <w:r>
        <w:rPr>
          <w:b/>
          <w:color w:val="0000FF"/>
        </w:rPr>
        <w:t>Technology</w:t>
      </w:r>
      <w:proofErr w:type="spellEnd"/>
      <w:r>
        <w:rPr>
          <w:b/>
          <w:color w:val="0000FF"/>
        </w:rPr>
        <w:t xml:space="preserve">, Paris, </w:t>
      </w:r>
      <w:r w:rsidR="00E039A1">
        <w:rPr>
          <w:b/>
          <w:color w:val="0000FF"/>
        </w:rPr>
        <w:t>France</w:t>
      </w:r>
    </w:p>
    <w:p w14:paraId="0DCE4855" w14:textId="77777777" w:rsidR="00E039A1" w:rsidRDefault="00E039A1" w:rsidP="00E039A1">
      <w:pPr>
        <w:rPr>
          <w:b/>
          <w:color w:val="0000FF"/>
        </w:rPr>
      </w:pPr>
    </w:p>
    <w:p w14:paraId="31120966" w14:textId="77777777" w:rsidR="00E039A1" w:rsidRDefault="00E039A1" w:rsidP="00E039A1">
      <w:pPr>
        <w:rPr>
          <w:b/>
          <w:color w:val="0000FF"/>
        </w:rPr>
      </w:pPr>
    </w:p>
    <w:tbl>
      <w:tblPr>
        <w:tblStyle w:val="Grilledetableauclair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2481"/>
        <w:gridCol w:w="2137"/>
        <w:gridCol w:w="1615"/>
      </w:tblGrid>
      <w:tr w:rsidR="00E039A1" w14:paraId="3EB6BD9C" w14:textId="77777777" w:rsidTr="00A057CC">
        <w:tc>
          <w:tcPr>
            <w:tcW w:w="2265" w:type="dxa"/>
          </w:tcPr>
          <w:p w14:paraId="4B8FB34C" w14:textId="77777777" w:rsidR="00E039A1" w:rsidRDefault="00E039A1" w:rsidP="00A057CC">
            <w:pPr>
              <w:rPr>
                <w:lang w:val="en-US" w:eastAsia="fr-FR"/>
              </w:rPr>
            </w:pPr>
            <w:r>
              <w:rPr>
                <w:noProof/>
                <w:lang w:val="en-US"/>
              </w:rPr>
              <w:drawing>
                <wp:inline distT="0" distB="0" distL="0" distR="0" wp14:anchorId="0394D85A" wp14:editId="003C9D89">
                  <wp:extent cx="1628932" cy="590550"/>
                  <wp:effectExtent l="0" t="0" r="9525" b="0"/>
                  <wp:docPr id="19171248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24803" name="Image 19171248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9785" cy="594485"/>
                          </a:xfrm>
                          <a:prstGeom prst="rect">
                            <a:avLst/>
                          </a:prstGeom>
                        </pic:spPr>
                      </pic:pic>
                    </a:graphicData>
                  </a:graphic>
                </wp:inline>
              </w:drawing>
            </w:r>
          </w:p>
        </w:tc>
        <w:tc>
          <w:tcPr>
            <w:tcW w:w="2265" w:type="dxa"/>
          </w:tcPr>
          <w:p w14:paraId="62DE3696" w14:textId="77777777" w:rsidR="00E039A1" w:rsidRDefault="00E039A1" w:rsidP="00A057CC">
            <w:pPr>
              <w:rPr>
                <w:lang w:val="en-US" w:eastAsia="fr-FR"/>
              </w:rPr>
            </w:pPr>
            <w:r>
              <w:rPr>
                <w:noProof/>
                <w:lang w:val="en-US"/>
              </w:rPr>
              <w:drawing>
                <wp:inline distT="0" distB="0" distL="0" distR="0" wp14:anchorId="30744406" wp14:editId="776256F2">
                  <wp:extent cx="1438275" cy="606903"/>
                  <wp:effectExtent l="0" t="0" r="0" b="3175"/>
                  <wp:docPr id="527794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498" name="Image 52779498"/>
                          <pic:cNvPicPr/>
                        </pic:nvPicPr>
                        <pic:blipFill>
                          <a:blip r:embed="rId14">
                            <a:extLst>
                              <a:ext uri="{28A0092B-C50C-407E-A947-70E740481C1C}">
                                <a14:useLocalDpi xmlns:a14="http://schemas.microsoft.com/office/drawing/2010/main" val="0"/>
                              </a:ext>
                            </a:extLst>
                          </a:blip>
                          <a:stretch>
                            <a:fillRect/>
                          </a:stretch>
                        </pic:blipFill>
                        <pic:spPr>
                          <a:xfrm>
                            <a:off x="0" y="0"/>
                            <a:ext cx="1459108" cy="615694"/>
                          </a:xfrm>
                          <a:prstGeom prst="rect">
                            <a:avLst/>
                          </a:prstGeom>
                        </pic:spPr>
                      </pic:pic>
                    </a:graphicData>
                  </a:graphic>
                </wp:inline>
              </w:drawing>
            </w:r>
          </w:p>
        </w:tc>
        <w:tc>
          <w:tcPr>
            <w:tcW w:w="2266" w:type="dxa"/>
          </w:tcPr>
          <w:p w14:paraId="01E104D8" w14:textId="77777777" w:rsidR="00E039A1" w:rsidRDefault="00E039A1" w:rsidP="00A057CC">
            <w:pPr>
              <w:rPr>
                <w:lang w:val="en-US" w:eastAsia="fr-FR"/>
              </w:rPr>
            </w:pPr>
            <w:r>
              <w:rPr>
                <w:noProof/>
                <w:lang w:val="en-US"/>
              </w:rPr>
              <w:drawing>
                <wp:inline distT="0" distB="0" distL="0" distR="0" wp14:anchorId="12AE760E" wp14:editId="49F3BF8B">
                  <wp:extent cx="1183783" cy="606425"/>
                  <wp:effectExtent l="0" t="0" r="0" b="3175"/>
                  <wp:docPr id="3098812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1248" name="Image 3098812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3254" cy="616400"/>
                          </a:xfrm>
                          <a:prstGeom prst="rect">
                            <a:avLst/>
                          </a:prstGeom>
                        </pic:spPr>
                      </pic:pic>
                    </a:graphicData>
                  </a:graphic>
                </wp:inline>
              </w:drawing>
            </w:r>
          </w:p>
        </w:tc>
        <w:tc>
          <w:tcPr>
            <w:tcW w:w="2266" w:type="dxa"/>
          </w:tcPr>
          <w:p w14:paraId="3083789C" w14:textId="77777777" w:rsidR="00E039A1" w:rsidRDefault="00E039A1" w:rsidP="00A057CC">
            <w:pPr>
              <w:rPr>
                <w:lang w:val="en-US" w:eastAsia="fr-FR"/>
              </w:rPr>
            </w:pPr>
            <w:r>
              <w:rPr>
                <w:noProof/>
                <w:lang w:val="en-US"/>
              </w:rPr>
              <w:drawing>
                <wp:inline distT="0" distB="0" distL="0" distR="0" wp14:anchorId="270803C6" wp14:editId="79859952">
                  <wp:extent cx="695325" cy="695325"/>
                  <wp:effectExtent l="0" t="0" r="9525" b="9525"/>
                  <wp:docPr id="181555175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51754" name="Graphique 1815551754"/>
                          <pic:cNvPicPr/>
                        </pic:nvPicPr>
                        <pic:blipFill>
                          <a:blip r:embed="rId16">
                            <a:extLst>
                              <a:ext uri="{96DAC541-7B7A-43D3-8B79-37D633B846F1}">
                                <asvg:svgBlip xmlns:asvg="http://schemas.microsoft.com/office/drawing/2016/SVG/main" r:embed="rId17"/>
                              </a:ext>
                            </a:extLst>
                          </a:blip>
                          <a:stretch>
                            <a:fillRect/>
                          </a:stretch>
                        </pic:blipFill>
                        <pic:spPr>
                          <a:xfrm>
                            <a:off x="0" y="0"/>
                            <a:ext cx="695325" cy="695325"/>
                          </a:xfrm>
                          <a:prstGeom prst="rect">
                            <a:avLst/>
                          </a:prstGeom>
                        </pic:spPr>
                      </pic:pic>
                    </a:graphicData>
                  </a:graphic>
                </wp:inline>
              </w:drawing>
            </w:r>
          </w:p>
        </w:tc>
      </w:tr>
    </w:tbl>
    <w:p w14:paraId="00000021" w14:textId="77777777" w:rsidR="00B70919" w:rsidRPr="00026D5E" w:rsidRDefault="00B70919">
      <w:pPr>
        <w:rPr>
          <w:lang w:val="en-US"/>
        </w:rPr>
      </w:pPr>
    </w:p>
    <w:sectPr w:rsidR="00B70919" w:rsidRPr="00026D5E">
      <w:headerReference w:type="default" r:id="rId18"/>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6B40E" w14:textId="77777777" w:rsidR="006D55E2" w:rsidRDefault="006D55E2">
      <w:pPr>
        <w:spacing w:line="240" w:lineRule="auto"/>
      </w:pPr>
      <w:r>
        <w:separator/>
      </w:r>
    </w:p>
  </w:endnote>
  <w:endnote w:type="continuationSeparator" w:id="0">
    <w:p w14:paraId="7C1C54BB" w14:textId="77777777" w:rsidR="006D55E2" w:rsidRDefault="006D55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D0DA5" w14:textId="77777777" w:rsidR="006D55E2" w:rsidRDefault="006D55E2">
      <w:pPr>
        <w:spacing w:line="240" w:lineRule="auto"/>
      </w:pPr>
      <w:r>
        <w:separator/>
      </w:r>
    </w:p>
  </w:footnote>
  <w:footnote w:type="continuationSeparator" w:id="0">
    <w:p w14:paraId="347B3CB8" w14:textId="77777777" w:rsidR="006D55E2" w:rsidRDefault="006D55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2" w14:textId="77777777" w:rsidR="00B70919" w:rsidRDefault="00B7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33EC"/>
    <w:multiLevelType w:val="multilevel"/>
    <w:tmpl w:val="606C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717368"/>
    <w:multiLevelType w:val="multilevel"/>
    <w:tmpl w:val="6F963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4872587">
    <w:abstractNumId w:val="0"/>
  </w:num>
  <w:num w:numId="2" w16cid:durableId="1386367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919"/>
    <w:rsid w:val="00026D5E"/>
    <w:rsid w:val="001320AB"/>
    <w:rsid w:val="001A14A0"/>
    <w:rsid w:val="004B2927"/>
    <w:rsid w:val="006D55E2"/>
    <w:rsid w:val="00971BB7"/>
    <w:rsid w:val="00A635ED"/>
    <w:rsid w:val="00B70919"/>
    <w:rsid w:val="00DD0A2A"/>
    <w:rsid w:val="00E039A1"/>
    <w:rsid w:val="00EC13B5"/>
    <w:rsid w:val="00F04F60"/>
    <w:rsid w:val="00F622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CCB1"/>
  <w15:docId w15:val="{A54FA843-84D2-401F-91A1-EE67E851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026D5E"/>
    <w:rPr>
      <w:color w:val="0000FF" w:themeColor="hyperlink"/>
      <w:u w:val="single"/>
    </w:rPr>
  </w:style>
  <w:style w:type="table" w:styleId="Grilledetableauclaire">
    <w:name w:val="Grid Table Light"/>
    <w:basedOn w:val="TableauNormal"/>
    <w:uiPriority w:val="40"/>
    <w:rsid w:val="00E039A1"/>
    <w:pPr>
      <w:spacing w:line="240" w:lineRule="auto"/>
    </w:pPr>
    <w:rPr>
      <w:rFonts w:asciiTheme="minorHAnsi" w:eastAsiaTheme="minorHAnsi" w:hAnsiTheme="minorHAnsi" w:cstheme="minorBidi"/>
      <w:kern w:val="2"/>
      <w:lang w:val="fr-FR" w:eastAsia="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isorc.github.io/2025/html/cfp.html"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sorc.github.io/2025/" TargetMode="External"/><Relationship Id="rId12" Type="http://schemas.openxmlformats.org/officeDocument/2006/relationships/hyperlink" Target="https://www.sciencedirect.com/journal/journal-of-systems-architecture" TargetMode="External"/><Relationship Id="rId17" Type="http://schemas.openxmlformats.org/officeDocument/2006/relationships/image" Target="media/image5.sv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sorc.github.io/2025/"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isorc25.hotcrp.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eee.org/conferences_events/conferences/publishing/templates.html"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757</Words>
  <Characters>4166</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AKRAM HAKIRI</cp:lastModifiedBy>
  <cp:revision>5</cp:revision>
  <dcterms:created xsi:type="dcterms:W3CDTF">2024-11-19T19:16:00Z</dcterms:created>
  <dcterms:modified xsi:type="dcterms:W3CDTF">2025-01-08T17:56:00Z</dcterms:modified>
</cp:coreProperties>
</file>