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220"/>
        <w:gridCol w:w="2324"/>
      </w:tblGrid>
      <w:tr>
        <w:tc>
          <w:tcPr>
            <w:tcW w:type="dxa" w:w="5273"/>
            <w:shd w:val="clear" w:color="auto" w:fill="0F3D6E"/>
            <w:vAlign w:val="center"/>
            <w:tcMar>
              <w:top w:w="80" w:type="dxa"/>
              <w:bottom w:w="80" w:type="dxa"/>
              <w:left w:w="17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34"/>
              </w:rPr>
              <w:t>UPN-Wechsel — Kurzanleitung</w:t>
            </w:r>
          </w:p>
          <w:p>
            <w:pPr>
              <w:spacing w:before="40" w:after="0"/>
              <w:jc w:val="left"/>
            </w:pPr>
            <w:r>
              <w:rPr>
                <w:rFonts w:ascii="Calibri" w:hAnsi="Calibri"/>
                <w:b w:val="0"/>
                <w:i w:val="0"/>
                <w:color w:val="BDD6F5"/>
                <w:sz w:val="17"/>
              </w:rPr>
              <w:t>Was nach der Änderung deiner geschäftlichen E-Mail-Adresse zu tun ist</w:t>
            </w:r>
          </w:p>
        </w:tc>
        <w:tc>
          <w:tcPr>
            <w:tcW w:type="dxa" w:w="5273"/>
            <w:shd w:val="clear" w:color="auto" w:fill="0F3D6E"/>
            <w:vAlign w:val="center"/>
            <w:tcMar>
              <w:top w:w="80" w:type="dxa"/>
              <w:bottom w:w="80" w:type="dxa"/>
              <w:left w:w="6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i w:val="0"/>
                <w:color w:val="BDD6F5"/>
                <w:sz w:val="21"/>
              </w:rPr>
              <w:t>Microsoft 365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546"/>
      </w:tblGrid>
      <w:tr>
        <w:trPr>
          <w:trHeight w:val="75" w:hRule="exact"/>
        </w:trPr>
        <w:tc>
          <w:tcPr>
            <w:tcW w:type="dxa" w:w="10546"/>
            <w:shd w:val="clear" w:color="auto" w:fill="C45C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0"/>
        <w:jc w:val="left"/>
        <w:rPr>
          <w:sz w:val="6"/>
          <w:szCs w:val="6"/>
        </w:rPr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0D4EE"/>
          <w:left w:val="single" w:sz="4" w:space="0" w:color="C0D4EE"/>
          <w:bottom w:val="single" w:sz="4" w:space="0" w:color="C0D4EE"/>
          <w:right w:val="single" w:sz="4" w:space="0" w:color="C0D4EE"/>
          <w:insideH w:val="none" w:sz="0" w:space="0" w:color="auto"/>
          <w:insideV w:val="none" w:sz="0" w:space="0" w:color="auto"/>
        </w:tblBorders>
      </w:tblPr>
      <w:tblGrid>
        <w:gridCol w:w="10546"/>
      </w:tblGrid>
      <w:tr>
        <w:tc>
          <w:tcPr>
            <w:tcW w:type="dxa" w:w="10546"/>
            <w:shd w:val="clear" w:color="auto" w:fill="F4F6F9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spacing w:before="0" w:after="0"/>
              <w:jc w:val="both"/>
            </w:pPr>
            <w:r>
              <w:rPr>
                <w:rFonts w:ascii="Calibri" w:hAnsi="Calibri"/>
                <w:b w:val="0"/>
                <w:i w:val="0"/>
                <w:color w:val="2D2D2D"/>
                <w:sz w:val="17"/>
              </w:rPr>
              <w:t xml:space="preserve">Dein </w:t>
            </w:r>
            <w:r>
              <w:rPr>
                <w:rFonts w:ascii="Calibri" w:hAnsi="Calibri"/>
                <w:b/>
                <w:i w:val="0"/>
                <w:color w:val="2D2D2D"/>
                <w:sz w:val="17"/>
              </w:rPr>
              <w:t>User Principal Name (UPN)</w:t>
            </w:r>
            <w:r>
              <w:rPr>
                <w:rFonts w:ascii="Calibri" w:hAnsi="Calibri"/>
                <w:b w:val="0"/>
                <w:i w:val="0"/>
                <w:color w:val="2D2D2D"/>
                <w:sz w:val="17"/>
              </w:rPr>
              <w:t xml:space="preserve"> — deine geschäftliche E-Mail-Adresse — wurde geändert. Einige Microsoft-365-Apps müssen manuell neu verknüpft werden. Folge den Schritten — es dauert nur wenige Minuten.</w:t>
            </w:r>
          </w:p>
        </w:tc>
      </w:tr>
    </w:tbl>
    <w:p>
      <w:pPr>
        <w:spacing w:before="0" w:after="0"/>
        <w:jc w:val="left"/>
        <w:rPr>
          <w:sz w:val="8"/>
          <w:szCs w:val="8"/>
        </w:rP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546"/>
      </w:tblGrid>
      <w:tr>
        <w:tc>
          <w:tcPr>
            <w:tcW w:type="dxa" w:w="10546"/>
            <w:shd w:val="clear" w:color="auto" w:fill="1B6EC2"/>
            <w:tcMar>
              <w:top w:w="50" w:type="dxa"/>
              <w:bottom w:w="50" w:type="dxa"/>
              <w:left w:w="15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1 — Microsoft OneNote — Notizbücher neu verknüpfen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0D4EE"/>
          <w:left w:val="single" w:sz="4" w:space="0" w:color="C0D4EE"/>
          <w:bottom w:val="single" w:sz="4" w:space="0" w:color="C0D4EE"/>
          <w:right w:val="single" w:sz="4" w:space="0" w:color="C0D4EE"/>
          <w:insideH w:val="none" w:sz="0" w:space="0" w:color="auto"/>
          <w:insideV w:val="none" w:sz="0" w:space="0" w:color="auto"/>
        </w:tblBorders>
      </w:tblPr>
      <w:tblGrid>
        <w:gridCol w:w="6236"/>
        <w:gridCol w:w="4309"/>
      </w:tblGrid>
      <w:tr>
        <w:tc>
          <w:tcPr>
            <w:tcW w:type="dxa" w:w="5273"/>
            <w:shd w:val="clear" w:color="auto" w:fill="EAF2FD"/>
            <w:vAlign w:val="top"/>
            <w:tcMar>
              <w:top w:w="80" w:type="dxa"/>
              <w:bottom w:w="80" w:type="dxa"/>
              <w:left w:w="13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C45C00"/>
                <w:sz w:val="24"/>
              </w:rPr>
              <w:t xml:space="preserve">⚠  </w:t>
            </w: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Vor dem Schließen: Sync-Fehler prüfen</w:t>
            </w:r>
          </w:p>
          <w:p>
            <w:pPr>
              <w:spacing w:before="0" w:after="40"/>
              <w:ind w:left="340"/>
              <w:jc w:val="left"/>
            </w:pPr>
            <w:r>
              <w:rPr>
                <w:rFonts w:ascii="Calibri" w:hAnsi="Calibri"/>
                <w:b w:val="0"/>
                <w:i w:val="0"/>
                <w:color w:val="C45C00"/>
                <w:sz w:val="16"/>
              </w:rPr>
              <w:t>Sicherstellen, dass keine Sync-Fehler vorhanden sind. Falls ja: betroffene Notizbücher zuerst manuell aus dem lokalen Ordner sichern.</w:t>
            </w:r>
          </w:p>
          <w:p>
            <w:pPr>
              <w:spacing w:before="80" w:after="0"/>
              <w:jc w:val="left"/>
            </w:pPr>
            <w:r>
              <w:rPr>
                <w:rFonts w:ascii="Calibri" w:hAnsi="Calibri"/>
                <w:b/>
                <w:i w:val="0"/>
                <w:color w:val="1B6EC2"/>
                <w:sz w:val="24"/>
              </w:rPr>
              <w:t xml:space="preserve">1  </w:t>
            </w: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Alle Notizbücher schließen</w:t>
            </w:r>
          </w:p>
          <w:p>
            <w:pPr>
              <w:spacing w:before="0" w:after="40"/>
              <w:ind w:left="34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16"/>
              </w:rPr>
              <w:t>Rechtsklick auf jedes Notizbuch im linken Bereich → Notizbuch schließen (Close This Notebook). Für alle wiederholen, dann App beenden.</w:t>
            </w:r>
          </w:p>
          <w:p>
            <w:pPr>
              <w:spacing w:before="80" w:after="0"/>
              <w:jc w:val="left"/>
            </w:pPr>
            <w:r>
              <w:rPr>
                <w:rFonts w:ascii="Calibri" w:hAnsi="Calibri"/>
                <w:b/>
                <w:i w:val="0"/>
                <w:color w:val="1B6EC2"/>
                <w:sz w:val="24"/>
              </w:rPr>
              <w:t xml:space="preserve">2  </w:t>
            </w: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Bei OneDrive Web mit neuer Adresse anmelden</w:t>
            </w:r>
          </w:p>
          <w:p>
            <w:pPr>
              <w:spacing w:before="0" w:after="40"/>
              <w:ind w:left="34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16"/>
              </w:rPr>
              <w:t>Browser öffnen → onedrive.com → mit der neuen geschäftlichen E-Mail-Adresse (neuem UPN) anmelden.</w:t>
            </w:r>
          </w:p>
          <w:p>
            <w:pPr>
              <w:spacing w:before="80" w:after="0"/>
              <w:jc w:val="left"/>
            </w:pPr>
            <w:r>
              <w:rPr>
                <w:rFonts w:ascii="Calibri" w:hAnsi="Calibri"/>
                <w:b/>
                <w:i w:val="0"/>
                <w:color w:val="1B6EC2"/>
                <w:sz w:val="24"/>
              </w:rPr>
              <w:t xml:space="preserve">3  </w:t>
            </w: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Notizbuch direkt aus OneDrive Web öffnen</w:t>
            </w:r>
          </w:p>
          <w:p>
            <w:pPr>
              <w:spacing w:before="0" w:after="40"/>
              <w:ind w:left="34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16"/>
              </w:rPr>
              <w:t>Zum Ordner des Notizbuchs navigieren und darauf klicken: öffnet sich in OneNote für das Web. (Erzwingt die Neuverknüpfung mit dem neuen UPN.)</w:t>
            </w:r>
          </w:p>
          <w:p>
            <w:pPr>
              <w:spacing w:before="80" w:after="0"/>
              <w:jc w:val="left"/>
            </w:pPr>
            <w:r>
              <w:rPr>
                <w:rFonts w:ascii="Calibri" w:hAnsi="Calibri"/>
                <w:b/>
                <w:i w:val="0"/>
                <w:color w:val="1B6EC2"/>
                <w:sz w:val="24"/>
              </w:rPr>
              <w:t xml:space="preserve">4  </w:t>
            </w: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In der Desktop-App weiterarbeiten</w:t>
            </w:r>
          </w:p>
          <w:p>
            <w:pPr>
              <w:spacing w:before="0" w:after="40"/>
              <w:ind w:left="34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16"/>
              </w:rPr>
              <w:t>In OneNote für das Web oben rechts auf «In OneNote öffnen» klicken. Das Notizbuch ist nun korrekt mit dem neuen Konto verknüpft.</w:t>
            </w:r>
          </w:p>
        </w:tc>
        <w:tc>
          <w:tcPr>
            <w:tcW w:type="dxa" w:w="5273"/>
            <w:shd w:val="clear" w:color="auto" w:fill="EAF2FD"/>
            <w:vAlign w:val="top"/>
            <w:tcMar>
              <w:top w:w="80" w:type="dxa"/>
              <w:bottom w:w="80" w:type="dxa"/>
              <w:left w:w="8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68000" cy="230744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f765434-IMG_405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2307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/>
              <w:jc w:val="center"/>
            </w:pPr>
            <w:r>
              <w:rPr>
                <w:rFonts w:ascii="Calibri" w:hAnsi="Calibri"/>
                <w:b w:val="0"/>
                <w:i/>
                <w:color w:val="555555"/>
                <w:sz w:val="15"/>
              </w:rPr>
              <w:t>Rechtsklick → Notizbuch schließen</w:t>
            </w:r>
          </w:p>
        </w:tc>
      </w:tr>
    </w:tbl>
    <w:p>
      <w:pPr>
        <w:spacing w:before="0" w:after="0"/>
        <w:jc w:val="left"/>
        <w:rPr>
          <w:sz w:val="8"/>
          <w:szCs w:val="8"/>
        </w:rP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546"/>
      </w:tblGrid>
      <w:tr>
        <w:tc>
          <w:tcPr>
            <w:tcW w:type="dxa" w:w="10546"/>
            <w:shd w:val="clear" w:color="auto" w:fill="1B6EC2"/>
            <w:tcMar>
              <w:top w:w="50" w:type="dxa"/>
              <w:bottom w:w="50" w:type="dxa"/>
              <w:left w:w="15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2 — OneDrive — Freigaben neu erstellen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0D4EE"/>
          <w:left w:val="single" w:sz="4" w:space="0" w:color="C0D4EE"/>
          <w:bottom w:val="single" w:sz="4" w:space="0" w:color="C0D4EE"/>
          <w:right w:val="single" w:sz="4" w:space="0" w:color="C0D4EE"/>
          <w:insideH w:val="none" w:sz="0" w:space="0" w:color="auto"/>
          <w:insideV w:val="none" w:sz="0" w:space="0" w:color="auto"/>
        </w:tblBorders>
      </w:tblPr>
      <w:tblGrid>
        <w:gridCol w:w="10546"/>
      </w:tblGrid>
      <w:tr>
        <w:tc>
          <w:tcPr>
            <w:tcW w:type="dxa" w:w="10546"/>
            <w:shd w:val="clear" w:color="auto" w:fill="EAF2FD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100"/>
              <w:ind w:left="57"/>
              <w:jc w:val="left"/>
              <w:shd w:val="clear" w:color="auto" w:fill="FFF4EC"/>
              <w:pBdr>
                <w:left w:val="single" w:sz="12" w:space="4" w:color="C45C00"/>
              </w:pBdr>
            </w:pPr>
            <w:r>
              <w:rPr>
                <w:rFonts w:ascii="Calibri" w:hAnsi="Calibri"/>
                <w:b/>
                <w:i w:val="0"/>
                <w:color w:val="C45C00"/>
                <w:sz w:val="18"/>
              </w:rPr>
              <w:t xml:space="preserve">⚠  </w:t>
            </w:r>
            <w:r>
              <w:rPr>
                <w:rFonts w:ascii="Calibri" w:hAnsi="Calibri"/>
                <w:b w:val="0"/>
                <w:i w:val="0"/>
                <w:color w:val="5C2800"/>
                <w:sz w:val="17"/>
              </w:rPr>
              <w:t xml:space="preserve">Alle Freigaben mit dem alten UPN werden </w:t>
            </w:r>
            <w:r>
              <w:rPr>
                <w:rFonts w:ascii="Calibri" w:hAnsi="Calibri"/>
                <w:b/>
                <w:i w:val="0"/>
                <w:color w:val="5C2800"/>
                <w:sz w:val="17"/>
              </w:rPr>
              <w:t>automatisch ungültig.</w:t>
            </w:r>
            <w:r>
              <w:rPr>
                <w:rFonts w:ascii="Calibri" w:hAnsi="Calibri"/>
                <w:b w:val="0"/>
                <w:i w:val="0"/>
                <w:color w:val="5C2800"/>
                <w:sz w:val="17"/>
              </w:rPr>
              <w:t xml:space="preserve"> Empfänger verlieren den Zugriff — jedes Element muss manuell neu geteilt werden.</w:t>
            </w:r>
          </w:p>
          <w:p>
            <w:pPr>
              <w:spacing w:before="100" w:after="0"/>
              <w:jc w:val="left"/>
            </w:pPr>
            <w:r>
              <w:rPr>
                <w:rFonts w:ascii="Calibri" w:hAnsi="Calibri"/>
                <w:b/>
                <w:i w:val="0"/>
                <w:color w:val="1B6EC2"/>
                <w:sz w:val="24"/>
              </w:rPr>
              <w:t xml:space="preserve">1  </w:t>
            </w: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Freigegebene Elemente finden</w:t>
            </w:r>
          </w:p>
          <w:p>
            <w:pPr>
              <w:spacing w:before="0" w:after="40"/>
              <w:ind w:left="34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16"/>
              </w:rPr>
              <w:t>Bei onedrive.com mit neuer Adresse anmelden → im linken Bereich auf «Geteilt» klicken → alle früheren Freigaben werden angezeigt.</w:t>
            </w:r>
          </w:p>
          <w:p>
            <w:pPr>
              <w:spacing w:before="100" w:after="0"/>
              <w:jc w:val="left"/>
            </w:pPr>
            <w:r>
              <w:rPr>
                <w:rFonts w:ascii="Calibri" w:hAnsi="Calibri"/>
                <w:b/>
                <w:i w:val="0"/>
                <w:color w:val="1B6EC2"/>
                <w:sz w:val="24"/>
              </w:rPr>
              <w:t xml:space="preserve">2  </w:t>
            </w: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Jede Datei / jeden Ordner neu freigeben</w:t>
            </w:r>
          </w:p>
          <w:p>
            <w:pPr>
              <w:spacing w:before="0" w:after="40"/>
              <w:ind w:left="34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16"/>
              </w:rPr>
              <w:t>Rechtsklick → Freigeben → Empfänger eingeben → Berechtigung wählen (Anzeigen / Bearbeiten) → Senden.</w:t>
            </w:r>
          </w:p>
          <w:p>
            <w:pPr>
              <w:spacing w:before="100" w:after="0"/>
              <w:jc w:val="left"/>
            </w:pPr>
            <w:r>
              <w:rPr>
                <w:rFonts w:ascii="Calibri" w:hAnsi="Calibri"/>
                <w:b/>
                <w:i w:val="0"/>
                <w:color w:val="1B6EC2"/>
                <w:sz w:val="24"/>
              </w:rPr>
              <w:t xml:space="preserve">3  </w:t>
            </w: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Empfänger über neuen Link informieren</w:t>
            </w:r>
          </w:p>
          <w:p>
            <w:pPr>
              <w:spacing w:before="0" w:after="40"/>
              <w:ind w:left="340"/>
              <w:jc w:val="left"/>
            </w:pPr>
            <w:r>
              <w:rPr>
                <w:rFonts w:ascii="Calibri" w:hAnsi="Calibri"/>
                <w:b w:val="0"/>
                <w:i w:val="0"/>
                <w:color w:val="2D2D2D"/>
                <w:sz w:val="16"/>
              </w:rPr>
              <w:t>Alte Links funktionieren nicht mehr. Neue Einladung versenden oder Link direkt mitteilen. Für SharePoint-Bibliotheken das IT-Team kontaktieren.</w:t>
            </w:r>
          </w:p>
        </w:tc>
      </w:tr>
    </w:tbl>
    <w:p>
      <w:pPr>
        <w:spacing w:before="0" w:after="0"/>
        <w:jc w:val="left"/>
        <w:rPr>
          <w:sz w:val="8"/>
          <w:szCs w:val="8"/>
        </w:rPr>
      </w:pPr>
    </w:p>
    <w:p>
      <w:pPr>
        <w:spacing w:before="40" w:after="0"/>
        <w:jc w:val="center"/>
        <w:pBdr>
          <w:top w:val="single" w:sz="4" w:space="1" w:color="CCCCCC"/>
        </w:pBdr>
      </w:pPr>
      <w:r>
        <w:rPr>
          <w:rFonts w:ascii="Calibri" w:hAnsi="Calibri"/>
          <w:b w:val="0"/>
          <w:i w:val="0"/>
          <w:color w:val="555555"/>
          <w:sz w:val="15"/>
        </w:rPr>
        <w:t>Bei Fragen wende dich an das IT-Team  ·  Internes Dokument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