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left"/>
      </w:pPr>
      <w:r>
        <w:rPr>
          <w:rFonts w:ascii="Aptos Display" w:hAnsi="Aptos Display"/>
          <w:b/>
          <w:color w:val="000000"/>
          <w:sz w:val="50"/>
        </w:rPr>
        <w:t>Qué debe hacer la plataforma</w:t>
      </w:r>
    </w:p>
    <w:p>
      <w:pPr>
        <w:spacing w:after="520"/>
      </w:pPr>
      <w:r>
        <w:rPr>
          <w:rFonts w:ascii="Aptos" w:hAnsi="Aptos"/>
          <w:b/>
          <w:color w:val="0F7D7E"/>
          <w:sz w:val="26"/>
        </w:rPr>
        <w:t>Intervent Preclaim  |  Resumen simple para desarrollo</w:t>
      </w:r>
    </w:p>
    <w:p>
      <w:pPr>
        <w:spacing w:after="100"/>
      </w:pPr>
      <w:r>
        <w:rPr>
          <w:rFonts w:ascii="Aptos" w:hAnsi="Aptos"/>
          <w:b/>
          <w:color w:val="000000"/>
          <w:sz w:val="20"/>
        </w:rPr>
        <w:t xml:space="preserve">Destinatario: </w:t>
      </w:r>
      <w:r>
        <w:rPr>
          <w:rFonts w:ascii="Aptos" w:hAnsi="Aptos"/>
          <w:color w:val="000000"/>
          <w:sz w:val="20"/>
        </w:rPr>
        <w:t>Equipo de desarrollo</w:t>
      </w:r>
    </w:p>
    <w:p>
      <w:r>
        <w:rPr>
          <w:rFonts w:ascii="Aptos" w:hAnsi="Aptos"/>
          <w:color w:val="667085"/>
          <w:sz w:val="18"/>
        </w:rPr>
        <w:t>Versión de referencia: 1.0  |  Fecha: 28 de septiembre de 2026</w:t>
      </w:r>
    </w:p>
    <w:p/>
    <w:p>
      <w:pPr>
        <w:spacing w:before="600"/>
      </w:pPr>
      <w:r>
        <w:rPr>
          <w:rFonts w:ascii="Aptos" w:hAnsi="Aptos"/>
          <w:b/>
          <w:color w:val="000000"/>
          <w:sz w:val="22"/>
        </w:rPr>
        <w:t>Propósito</w:t>
      </w:r>
    </w:p>
    <w:p>
      <w:pPr>
        <w:spacing w:after="100"/>
      </w:pPr>
      <w:r>
        <w:rPr>
          <w:rFonts w:ascii="Aptos" w:hAnsi="Aptos"/>
          <w:color w:val="000000"/>
          <w:sz w:val="20"/>
        </w:rPr>
        <w:t>Entregar una referencia única para construir la plataforma productiva, distinguiendo con claridad el comportamiento ya representado en el demo de las capacidades que aún deben implementarse, integrarse o validarse con FIS.</w:t>
      </w:r>
    </w:p>
    <w:p>
      <w:r>
        <w:br w:type="page"/>
      </w:r>
    </w:p>
    <w:p>
      <w:pPr>
        <w:pStyle w:val="Heading1"/>
      </w:pPr>
      <w:r>
        <w:t>Objetivo</w:t>
      </w:r>
    </w:p>
    <w:p>
      <w:r>
        <w:rPr>
          <w:rFonts w:ascii="Aptos" w:hAnsi="Aptos"/>
          <w:color w:val="000000"/>
          <w:sz w:val="19"/>
        </w:rPr>
        <w:t>La plataforma debe convertir una carpeta documental de un caso de carga en un expediente digital ordenado, revisable y listo para decidir si corresponde derivarlo a FIS o Lawgistic.</w:t>
      </w:r>
    </w:p>
    <w:p>
      <w:pPr>
        <w:pStyle w:val="Heading1"/>
      </w:pPr>
      <w:r>
        <w:t>Flujo principal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1.  </w:t>
      </w:r>
      <w:r>
        <w:rPr>
          <w:rFonts w:ascii="Aptos" w:hAnsi="Aptos"/>
          <w:color w:val="000000"/>
          <w:sz w:val="18"/>
        </w:rPr>
        <w:t>El usuario carga una carpeta o arrastra los documentos del caso.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2.  </w:t>
      </w:r>
      <w:r>
        <w:rPr>
          <w:rFonts w:ascii="Aptos" w:hAnsi="Aptos"/>
          <w:color w:val="000000"/>
          <w:sz w:val="18"/>
        </w:rPr>
        <w:t>La plataforma identifica la referencia y propone los datos del embarque.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3.  </w:t>
      </w:r>
      <w:r>
        <w:rPr>
          <w:rFonts w:ascii="Aptos" w:hAnsi="Aptos"/>
          <w:color w:val="000000"/>
          <w:sz w:val="18"/>
        </w:rPr>
        <w:t>Clasifica cada archivo, lo renombra y lo incorpora al expediente.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4.  </w:t>
      </w:r>
      <w:r>
        <w:rPr>
          <w:rFonts w:ascii="Aptos" w:hAnsi="Aptos"/>
          <w:color w:val="000000"/>
          <w:sz w:val="18"/>
        </w:rPr>
        <w:t>Lee texto y aplica OCR cuando el documento está escaneado.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5.  </w:t>
      </w:r>
      <w:r>
        <w:rPr>
          <w:rFonts w:ascii="Aptos" w:hAnsi="Aptos"/>
          <w:color w:val="000000"/>
          <w:sz w:val="18"/>
        </w:rPr>
        <w:t>Muestra qué documentos existen, cuáles faltan y cuáles deben solicitarse.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6.  </w:t>
      </w:r>
      <w:r>
        <w:rPr>
          <w:rFonts w:ascii="Aptos" w:hAnsi="Aptos"/>
          <w:color w:val="000000"/>
          <w:sz w:val="18"/>
        </w:rPr>
        <w:t>Propone resumen, tipo de caso y causa probable, indicando sus fuentes.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7.  </w:t>
      </w:r>
      <w:r>
        <w:rPr>
          <w:rFonts w:ascii="Aptos" w:hAnsi="Aptos"/>
          <w:color w:val="000000"/>
          <w:sz w:val="18"/>
        </w:rPr>
        <w:t>Calcula la pérdida con los métodos aplicables y muestra los resultados para comparar.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8.  </w:t>
      </w:r>
      <w:r>
        <w:rPr>
          <w:rFonts w:ascii="Aptos" w:hAnsi="Aptos"/>
          <w:color w:val="000000"/>
          <w:sz w:val="18"/>
        </w:rPr>
        <w:t>El Handler revisa y corrige la información antes de confirmarla.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9.  </w:t>
      </w:r>
      <w:r>
        <w:rPr>
          <w:rFonts w:ascii="Aptos" w:hAnsi="Aptos"/>
          <w:color w:val="000000"/>
          <w:sz w:val="18"/>
        </w:rPr>
        <w:t>Genera cartas y documentos desde templates parametrizados, con aprobación previa.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10.  </w:t>
      </w:r>
      <w:r>
        <w:rPr>
          <w:rFonts w:ascii="Aptos" w:hAnsi="Aptos"/>
          <w:color w:val="000000"/>
          <w:sz w:val="18"/>
        </w:rPr>
        <w:t>Prepara un informe final y permite derivar el caso a FIS o Lawgistic.</w:t>
      </w:r>
    </w:p>
    <w:p>
      <w:pPr>
        <w:spacing w:after="60"/>
        <w:ind w:left="317" w:hanging="317"/>
      </w:pPr>
      <w:r>
        <w:rPr>
          <w:rFonts w:ascii="Aptos" w:hAnsi="Aptos"/>
          <w:b/>
          <w:color w:val="000000"/>
          <w:sz w:val="18"/>
        </w:rPr>
        <w:t xml:space="preserve">11.  </w:t>
      </w:r>
      <w:r>
        <w:rPr>
          <w:rFonts w:ascii="Aptos" w:hAnsi="Aptos"/>
          <w:color w:val="000000"/>
          <w:sz w:val="18"/>
        </w:rPr>
        <w:t>Registra cada acción y mantiene una memoria histórica consultable.</w:t>
      </w:r>
    </w:p>
    <w:p>
      <w:pPr>
        <w:pStyle w:val="Heading1"/>
      </w:pPr>
      <w:r>
        <w:t>Información que debe extraer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8928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Identificación</w:t>
            </w:r>
          </w:p>
        </w:tc>
        <w:tc>
          <w:tcPr>
            <w:tcW w:type="dxa" w:w="8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Referencia, CS Claim No, asegurado y consignatario.</w:t>
            </w:r>
          </w:p>
        </w:tc>
      </w:tr>
      <w:t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Transporte</w:t>
            </w:r>
          </w:p>
        </w:tc>
        <w:tc>
          <w:tcPr>
            <w:tcW w:type="dxa" w:w="8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Transportista, nave, viaje, contenedor, embarque y descarga.</w:t>
            </w:r>
          </w:p>
        </w:tc>
      </w:tr>
      <w:t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Carga</w:t>
            </w:r>
          </w:p>
        </w:tc>
        <w:tc>
          <w:tcPr>
            <w:tcW w:type="dxa" w:w="8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Producto, cantidad, unidad, origen y destino.</w:t>
            </w:r>
          </w:p>
        </w:tc>
      </w:tr>
      <w:t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Daño</w:t>
            </w:r>
          </w:p>
        </w:tc>
        <w:tc>
          <w:tcPr>
            <w:tcW w:type="dxa" w:w="8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Inspector, fechas, causa probable, resumen y fuentes.</w:t>
            </w:r>
          </w:p>
        </w:tc>
      </w:tr>
      <w:t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Económica</w:t>
            </w:r>
          </w:p>
        </w:tc>
        <w:tc>
          <w:tcPr>
            <w:tcW w:type="dxa" w:w="8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Factura, liquidaciones, ventas, mercado, nota de crédito, moneda y tipo de cambio.</w:t>
            </w:r>
          </w:p>
        </w:tc>
      </w:tr>
      <w:tr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Riesgo</w:t>
            </w:r>
          </w:p>
        </w:tc>
        <w:tc>
          <w:tcPr>
            <w:tcW w:type="dxa" w:w="8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Fecha de prescripción, días restantes, ETA y estado del caso.</w:t>
            </w:r>
          </w:p>
        </w:tc>
      </w:tr>
    </w:tbl>
    <w:p>
      <w:pPr>
        <w:spacing w:after="20"/>
      </w:pPr>
    </w:p>
    <w:p>
      <w:pPr>
        <w:pStyle w:val="Heading1"/>
      </w:pPr>
      <w:r>
        <w:t>Cálculos mínimos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7920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Cálculo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Embarque comparable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Liquidación comparable menos liquidación real.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Reporte de mercado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Valor de mercado menos liquidación real.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Factura versus venta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Valor factura menos venta neta en destino.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Venta a firme</w:t>
            </w:r>
          </w:p>
        </w:tc>
        <w:tc>
          <w:tcPr>
            <w:tcW w:type="dxa" w:w="79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Valor de la nota de crédito.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19"/>
        </w:rPr>
        <w:t>Todos los cálculos deben mostrar fuentes, moneda, tipo de cambio, fecha, resultado y justificación. El sistema recomienda; la decisión final siempre la toma una persona.</w:t>
      </w:r>
    </w:p>
    <w:p>
      <w:pPr>
        <w:pStyle w:val="Heading1"/>
      </w:pPr>
      <w:r>
        <w:t>Documentos y estados</w:t>
      </w:r>
    </w:p>
    <w:p>
      <w:r>
        <w:rPr>
          <w:rFonts w:ascii="Aptos" w:hAnsi="Aptos"/>
          <w:color w:val="000000"/>
          <w:sz w:val="19"/>
        </w:rPr>
        <w:t>El sistema debe trabajar con BL, Booking, factura, liquidaciones, Packing List, DUS, certificados, QC, inspecciones, termógrafos, AoR, LoA/Subro, notificaciones y correspondencia. Cada documento debe quedar como Disponible, Faltante, Solicitado, Recibido, Rechazado, No aplica, Ilegible o Pendiente de revisión.</w:t>
      </w:r>
    </w:p>
    <w:p>
      <w:pPr>
        <w:pStyle w:val="Heading1"/>
      </w:pPr>
      <w:r>
        <w:t>Estados del caso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7776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Datos incompletos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Faltan datos mínimos para iniciar el expediente.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Preclaim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Caso recibido y en análisis.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Documentación pendiente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Faltan antecedentes necesarios.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Cálculo completo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Existe un cálculo seleccionado y justificado.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Traspasado a FIS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Listo para recupero extrajudicial.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Traspasado a Lawgistic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Listo para recupero judicial.</w:t>
            </w:r>
          </w:p>
        </w:tc>
      </w:tr>
    </w:tbl>
    <w:p>
      <w:pPr>
        <w:spacing w:after="20"/>
      </w:pPr>
    </w:p>
    <w:p>
      <w:pPr>
        <w:pStyle w:val="Heading1"/>
      </w:pPr>
      <w:r>
        <w:t>Usuarios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Usuario</w:t>
            </w:r>
          </w:p>
        </w:tc>
        <w:tc>
          <w:tcPr>
            <w:tcW w:type="dxa" w:w="8712"/>
            <w:shd w:fill="2039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Debe poder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Handler</w:t>
            </w:r>
          </w:p>
        </w:tc>
        <w:tc>
          <w:tcPr>
            <w:tcW w:type="dxa" w:w="87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Operar sus casos de principio a fin.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Gerente</w:t>
            </w:r>
          </w:p>
        </w:tc>
        <w:tc>
          <w:tcPr>
            <w:tcW w:type="dxa" w:w="87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Ver todo, comparar handlers, administrar reglas y revertir estados con motivo.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CEO</w:t>
            </w:r>
          </w:p>
        </w:tc>
        <w:tc>
          <w:tcPr>
            <w:tcW w:type="dxa" w:w="87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Ver indicadores y riesgos en modo ejecutivo.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Inspector</w:t>
            </w:r>
          </w:p>
        </w:tc>
        <w:tc>
          <w:tcPr>
            <w:tcW w:type="dxa" w:w="87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DF4FB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000000"/>
                <w:sz w:val="16"/>
              </w:rPr>
              <w:t>Queda para una fase posterior: solo casos asignados y datos de inspección.</w:t>
            </w:r>
          </w:p>
        </w:tc>
      </w:tr>
    </w:tbl>
    <w:p>
      <w:pPr>
        <w:spacing w:after="20"/>
      </w:pPr>
    </w:p>
    <w:p>
      <w:pPr>
        <w:pStyle w:val="Heading1"/>
      </w:pPr>
      <w:r>
        <w:t>Pendientes clave de desarrollo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Cambiar la persistencia local del demo por backend, base de datos y almacenamiento seguro.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Implementar autenticación y permisos reales.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Completar OCR y extracción robusta por tipo documental.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Validar con FIS fórmulas, documentos obligatorios, tasas de cambio y textos legales.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Cargar templates oficiales y agregar certificados de destrucción.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Implementar solicitudes documentales y correos con adjuntos.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Implementar alertas automáticas reales a los 15 días y por prescripción.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Migrar y reconciliar la memoria histórica de producción.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Definir la entrega efectiva hacia FIS y Lawgistic.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18"/>
        </w:rPr>
        <w:t>Implementar Inspector y Carta JSI solo cuando se apruebe la segunda fase.</w:t>
      </w:r>
    </w:p>
    <w:p>
      <w:pPr>
        <w:pStyle w:val="Heading1"/>
      </w:pPr>
      <w:r>
        <w:t>Definición de terminado</w:t>
      </w:r>
    </w:p>
    <w:p>
      <w:r>
        <w:rPr>
          <w:rFonts w:ascii="Aptos" w:hAnsi="Aptos"/>
          <w:color w:val="000000"/>
          <w:sz w:val="19"/>
        </w:rPr>
        <w:t>La plataforma estará lista cuando un Handler pueda cargar un caso real, obtener una propuesta trazable, corregirla, completar o solicitar documentos, seleccionar un cálculo reproducible, generar los documentos oficiales, dejar el expediente auditado y derivarlo al destino correcto sin ingreso manual repetitivo.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color w:val="667085"/>
        <w:sz w:val="15"/>
      </w:rPr>
      <w:t>Intervent Preclaim  |  Documento de trabajo para desarrollo  |  28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right"/>
    </w:pPr>
    <w:r>
      <w:rPr>
        <w:rFonts w:ascii="Aptos" w:hAnsi="Aptos"/>
        <w:b/>
        <w:color w:val="667085"/>
        <w:sz w:val="16"/>
      </w:rPr>
      <w:t>INTERVENT PRECLAIM  |  MATERIAL DE DESARROLLO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