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400"/>
      </w:pPr>
      <w:r>
        <w:rPr>
          <w:rFonts w:ascii="Aptos" w:hAnsi="Aptos"/>
          <w:b/>
          <w:i w:val="0"/>
          <w:color w:val="167C80"/>
          <w:sz w:val="21"/>
        </w:rPr>
        <w:t>INTERVENT PRECLAIM</w:t>
      </w:r>
    </w:p>
    <w:p>
      <w:pPr>
        <w:pStyle w:val="Title"/>
        <w:spacing w:after="200"/>
      </w:pPr>
      <w:r>
        <w:t>Consolidado funcional y pendientes de definición</w:t>
      </w:r>
    </w:p>
    <w:p>
      <w:pPr>
        <w:pStyle w:val="Subtitle"/>
        <w:spacing w:after="680"/>
      </w:pPr>
      <w:r>
        <w:rPr>
          <w:rFonts w:ascii="Aptos" w:hAnsi="Aptos"/>
          <w:b w:val="0"/>
          <w:i w:val="0"/>
          <w:color w:val="20365F"/>
          <w:sz w:val="26"/>
        </w:rPr>
        <w:t>Estado del demo y preguntas abiertas para cierre funcional con FIS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45"/>
            <w:vAlign w:val="center"/>
            <w:tcMar>
              <w:top w:w="100" w:type="dxa"/>
              <w:start w:w="120" w:type="dxa"/>
              <w:bottom w:w="100" w:type="dxa"/>
              <w:end w:w="120" w:type="dxa"/>
            </w:tcMar>
            <w:shd w:fill="167C80"/>
          </w:tcPr>
          <w:p>
            <w:pPr>
              <w:spacing w:after="0" w:line="252" w:lineRule="auto"/>
              <w:jc w:val="left"/>
            </w:pPr>
            <w:r/>
            <w:r>
              <w:rPr>
                <w:rFonts w:ascii="Aptos" w:hAnsi="Aptos"/>
                <w:b/>
                <w:i w:val="0"/>
                <w:color w:val="FFFFFF"/>
                <w:sz w:val="17"/>
              </w:rPr>
              <w:t>Documento</w:t>
            </w:r>
          </w:p>
        </w:tc>
        <w:tc>
          <w:tcPr>
            <w:tcW w:type="dxa" w:w="2088"/>
            <w:vAlign w:val="center"/>
            <w:tcMar>
              <w:top w:w="100" w:type="dxa"/>
              <w:start w:w="120" w:type="dxa"/>
              <w:bottom w:w="100" w:type="dxa"/>
              <w:end w:w="120" w:type="dxa"/>
            </w:tcMar>
            <w:shd w:fill="167C80"/>
          </w:tcPr>
          <w:p>
            <w:pPr>
              <w:spacing w:after="0" w:line="252" w:lineRule="auto"/>
              <w:jc w:val="left"/>
            </w:pPr>
            <w:r/>
            <w:r>
              <w:rPr>
                <w:rFonts w:ascii="Aptos" w:hAnsi="Aptos"/>
                <w:b/>
                <w:i w:val="0"/>
                <w:color w:val="FFFFFF"/>
                <w:sz w:val="17"/>
              </w:rPr>
              <w:t>Fecha</w:t>
            </w:r>
          </w:p>
        </w:tc>
        <w:tc>
          <w:tcPr>
            <w:tcW w:type="dxa" w:w="2232"/>
            <w:vAlign w:val="center"/>
            <w:tcMar>
              <w:top w:w="100" w:type="dxa"/>
              <w:start w:w="120" w:type="dxa"/>
              <w:bottom w:w="100" w:type="dxa"/>
              <w:end w:w="120" w:type="dxa"/>
            </w:tcMar>
            <w:shd w:fill="167C80"/>
          </w:tcPr>
          <w:p>
            <w:pPr>
              <w:spacing w:after="0" w:line="252" w:lineRule="auto"/>
              <w:jc w:val="left"/>
            </w:pPr>
            <w:r/>
            <w:r>
              <w:rPr>
                <w:rFonts w:ascii="Aptos" w:hAnsi="Aptos"/>
                <w:b/>
                <w:i w:val="0"/>
                <w:color w:val="FFFFFF"/>
                <w:sz w:val="17"/>
              </w:rPr>
              <w:t>Destinatario</w:t>
            </w:r>
          </w:p>
        </w:tc>
        <w:tc>
          <w:tcPr>
            <w:tcW w:type="dxa" w:w="3341"/>
            <w:vAlign w:val="center"/>
            <w:tcMar>
              <w:top w:w="100" w:type="dxa"/>
              <w:start w:w="120" w:type="dxa"/>
              <w:bottom w:w="100" w:type="dxa"/>
              <w:end w:w="120" w:type="dxa"/>
            </w:tcMar>
            <w:shd w:fill="167C80"/>
          </w:tcPr>
          <w:p>
            <w:pPr>
              <w:spacing w:after="0" w:line="252" w:lineRule="auto"/>
              <w:jc w:val="left"/>
            </w:pPr>
            <w:r/>
            <w:r>
              <w:rPr>
                <w:rFonts w:ascii="Aptos" w:hAnsi="Aptos"/>
                <w:b/>
                <w:i w:val="0"/>
                <w:color w:val="FFFFFF"/>
                <w:sz w:val="17"/>
              </w:rPr>
              <w:t>Propósito</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Consolidado funcional FIS</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25 de septiembre de 2026</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Equipo FIS y desarrollo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Alinear lo implementado y cerrar las decisiones pendientes</w:t>
            </w:r>
          </w:p>
        </w:tc>
      </w:tr>
    </w:tbl>
    <w:p>
      <w:pPr>
        <w:spacing w:after="40"/>
      </w:pPr>
    </w:p>
    <w:p>
      <w:pPr>
        <w:pStyle w:val="BodyText"/>
      </w:pPr>
      <w:r>
        <w:rPr>
          <w:rFonts w:ascii="Aptos" w:hAnsi="Aptos"/>
          <w:b/>
          <w:i w:val="0"/>
          <w:color w:val="202124"/>
          <w:sz w:val="21"/>
        </w:rPr>
        <w:t>Este documento reúne</w:t>
      </w:r>
      <w:r>
        <w:rPr>
          <w:rFonts w:ascii="Aptos" w:hAnsi="Aptos"/>
          <w:b w:val="0"/>
          <w:i w:val="0"/>
          <w:color w:val="202124"/>
          <w:sz w:val="21"/>
        </w:rPr>
        <w:t xml:space="preserve"> en una sola vista las decisiones funcionales ya reflejadas en el demo Intervent Preclaim, las reglas actualmente configuradas y las definiciones que todavía deben ser confirmadas por FIS. Está pensado para responder de manera práctica a tres preguntas: qué se puede probar hoy, qué está implementado pero requiere validación formal y qué información necesitamos para cerrar la aceptación sin que desarrollo tenga que interpretar reglas jurídicas, financieras u operativas.</w:t>
      </w:r>
    </w:p>
    <w:p>
      <w:pPr>
        <w:pStyle w:val="BodyText"/>
      </w:pPr>
      <w:r>
        <w:rPr>
          <w:rFonts w:ascii="Aptos" w:hAnsi="Aptos"/>
          <w:b w:val="0"/>
          <w:i w:val="0"/>
          <w:color w:val="202124"/>
          <w:sz w:val="21"/>
        </w:rPr>
        <w:t>La regla de lectura es simple: “Operativo en demo” significa que la función puede ejecutarse y probarse; no implica por sí sola que la regla legal o financiera esté aprobada para producción. Cuando una decisión sigue abierta, el demo conserva la revisión humana y evita declarar el caso como cerrado para producción.</w:t>
      </w:r>
    </w:p>
    <w:p>
      <w:pPr>
        <w:spacing w:before="480"/>
      </w:pPr>
      <w:r>
        <w:rPr>
          <w:rFonts w:ascii="Aptos" w:hAnsi="Aptos"/>
          <w:b/>
          <w:i w:val="0"/>
          <w:color w:val="000000"/>
          <w:sz w:val="24"/>
        </w:rPr>
        <w:t>Conclusión ejecutiva</w:t>
      </w:r>
    </w:p>
    <w:p>
      <w:pPr>
        <w:pStyle w:val="BodyText"/>
      </w:pPr>
      <w:r>
        <w:rPr>
          <w:rFonts w:ascii="Aptos" w:hAnsi="Aptos"/>
          <w:b w:val="0"/>
          <w:i w:val="0"/>
          <w:color w:val="202124"/>
          <w:sz w:val="21"/>
        </w:rPr>
        <w:t>El demo ya cubre el flujo principal de Preclaim: ingreso y clasificación documental, expediente, checklist, extracción asistida, análisis, tres escenarios de pérdida, revisión humana, cartas base, alertas de inactividad, memoria histórica, mantenedores y traspaso. El cierre contractual todavía depende de respuestas de FIS sobre fórmulas definitivas, criterios de documentos, templates oficiales, reglas de cierre, tipo de cambio y métricas de OCR.</w:t>
      </w:r>
    </w:p>
    <w:p>
      <w:r>
        <w:br w:type="page"/>
      </w:r>
    </w:p>
    <w:p>
      <w:pPr>
        <w:pStyle w:val="Heading1"/>
        <w:keepNext/>
        <w:spacing w:before="300" w:after="120"/>
      </w:pPr>
      <w:r>
        <w:rPr>
          <w:rFonts w:ascii="Aptos" w:hAnsi="Aptos"/>
          <w:b/>
          <w:i w:val="0"/>
          <w:color w:val="000000"/>
          <w:sz w:val="30"/>
        </w:rPr>
        <w:t>Resumen ejecutivo</w:t>
      </w:r>
    </w:p>
    <w:p>
      <w:pPr>
        <w:pStyle w:val="BodyText"/>
      </w:pPr>
      <w:r>
        <w:rPr>
          <w:rFonts w:ascii="Aptos" w:hAnsi="Aptos"/>
          <w:b w:val="0"/>
          <w:i w:val="0"/>
          <w:color w:val="202124"/>
          <w:sz w:val="21"/>
        </w:rPr>
        <w:t>La siguiente matriz permite distinguir rápidamente el estado de cada frente. Los puntos marcados como “validación pendiente” no deben ser considerados cerrados para producción hasta que FIS responda y la respuesta quede asociada a una configuración, un template o un caso de prueba.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893"/>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ID</w:t>
            </w:r>
          </w:p>
        </w:tc>
        <w:tc>
          <w:tcPr>
            <w:tcW w:type="dxa" w:w="1757"/>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Frente</w:t>
            </w:r>
          </w:p>
        </w:tc>
        <w:tc>
          <w:tcPr>
            <w:tcW w:type="dxa" w:w="2952"/>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Estado actual</w:t>
            </w:r>
          </w:p>
        </w:tc>
        <w:tc>
          <w:tcPr>
            <w:tcW w:type="dxa" w:w="4104"/>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Qué falta cerrar</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FIS-001</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Cálculo de pérdida</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Operativo en demo con parámetros y revisión humana</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Fórmulas 1 y 2 aún requieren aprobación formal; Método 3 y venta a firme requieren cierre documental.</w:t>
            </w:r>
          </w:p>
        </w:tc>
      </w:tr>
      <w:tr>
        <w:trPr>
          <w:cantSplit/>
        </w:trPr>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FIS-002</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Referencia interna</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Operativo en demo</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Formato, edición auditada y detección de duplicados funcionando; conservar regla histórica aprobada.</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FIS-003</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Templates base</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Base parametrizada en demo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Faltan archivos oficiales, textos legales, versiones, firmas y formato final aprobados.</w:t>
            </w:r>
          </w:p>
        </w:tc>
      </w:tr>
      <w:tr>
        <w:trPr>
          <w:cantSplit/>
        </w:trPr>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FIS-004</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Claim Notice</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Unificado en demo con la notificación a la naviera</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FIS debe confirmar que ambos nombres corresponden al mismo documento o entregar la variante aplicable.</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FIS-005</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Checklist documental</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Operativo en demo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Falta la matriz final por tipo de caso y la regla de “No aplica”.</w:t>
            </w:r>
          </w:p>
        </w:tc>
      </w:tr>
      <w:tr>
        <w:trPr>
          <w:cantSplit/>
        </w:trPr>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FIS-006</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Traspaso FIS y Lawgistic</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Flujo operativo en demo</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Faltan condiciones objetivas de cierre; existe una contradicción pendiente sobre AoR.</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FIS-007</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Inactividad y alertas</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Regla de 15 días operativa en demo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Falta confirmar estados excluidos, destinatarios, canales y operación real de notificaciones.</w:t>
            </w:r>
          </w:p>
        </w:tc>
      </w:tr>
      <w:tr>
        <w:trPr>
          <w:cantSplit/>
        </w:trPr>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FIS-008</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Monedas y tipo de cambio</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Conversión operativa en demo</w:t>
            </w:r>
          </w:p>
        </w:tc>
        <w:tc>
          <w:tcPr>
            <w:tcW w:type="dxa" w:w="2498"/>
            <w:vAlign w:val="center"/>
            <w:tcMar>
              <w:top w:w="100" w:type="dxa"/>
              <w:start w:w="120" w:type="dxa"/>
              <w:bottom w:w="100" w:type="dxa"/>
              <w:end w:w="120" w:type="dxa"/>
            </w:tcMar>
            <w:shd w:fill="F4F6F8"/>
          </w:tcPr>
          <w:p>
            <w:pPr>
              <w:spacing w:after="0" w:line="252" w:lineRule="auto"/>
              <w:jc w:val="left"/>
            </w:pPr>
            <w:r/>
            <w:r>
              <w:rPr>
                <w:rFonts w:ascii="Aptos" w:hAnsi="Aptos"/>
                <w:b w:val="0"/>
                <w:i w:val="0"/>
                <w:color w:val="202124"/>
                <w:sz w:val="17"/>
              </w:rPr>
              <w:t>Faltan fuente, periodicidad, feriados, permisos, tasa faltante y valores sin moneda.</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FIS-009</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OCR y aceptación documental</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Pipeline base implementado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7"/>
              </w:rPr>
              <w:t>Faltan corpus oficial, campos por documento y umbrales objetivos de precisión.</w:t>
            </w:r>
          </w:p>
        </w:tc>
      </w:tr>
    </w:tbl>
    <w:p>
      <w:pPr>
        <w:spacing w:after="40"/>
      </w:pPr>
    </w:p>
    <w:p>
      <w:pPr>
        <w:pStyle w:val="Heading2"/>
        <w:keepNext/>
        <w:spacing w:before="200" w:after="120"/>
      </w:pPr>
      <w:r>
        <w:rPr>
          <w:rFonts w:ascii="Aptos" w:hAnsi="Aptos"/>
          <w:b/>
          <w:i w:val="0"/>
          <w:color w:val="000000"/>
          <w:sz w:val="24"/>
        </w:rPr>
        <w:t>Qué puede probar FIS ahora</w:t>
      </w:r>
    </w:p>
    <w:p>
      <w:pPr>
        <w:pStyle w:val="ListBullet"/>
        <w:spacing w:after="60" w:line="252" w:lineRule="auto"/>
      </w:pPr>
      <w:r>
        <w:rPr>
          <w:rFonts w:ascii="Aptos" w:hAnsi="Aptos"/>
          <w:b w:val="0"/>
          <w:i w:val="0"/>
          <w:color w:val="202124"/>
          <w:sz w:val="20"/>
        </w:rPr>
        <w:t>Crear un caso desde una carpeta documental y revisar la identificación de referencia, documentos y datos extraídos.</w:t>
      </w:r>
    </w:p>
    <w:p>
      <w:pPr>
        <w:pStyle w:val="ListBullet"/>
        <w:spacing w:after="60" w:line="252" w:lineRule="auto"/>
      </w:pPr>
      <w:r>
        <w:rPr>
          <w:rFonts w:ascii="Aptos" w:hAnsi="Aptos"/>
          <w:b w:val="0"/>
          <w:i w:val="0"/>
          <w:color w:val="202124"/>
          <w:sz w:val="20"/>
        </w:rPr>
        <w:t>Confirmar o corregir manualmente asegurado, oponente, nave, viaje, carga, fechas, inspector y número de reclamo.</w:t>
      </w:r>
    </w:p>
    <w:p>
      <w:pPr>
        <w:pStyle w:val="ListBullet"/>
        <w:spacing w:after="60" w:line="252" w:lineRule="auto"/>
      </w:pPr>
      <w:r>
        <w:rPr>
          <w:rFonts w:ascii="Aptos" w:hAnsi="Aptos"/>
          <w:b w:val="0"/>
          <w:i w:val="0"/>
          <w:color w:val="202124"/>
          <w:sz w:val="20"/>
        </w:rPr>
        <w:t>Revisar los documentos disponibles, faltantes, solicitados, recibidos, rechazados, ilegibles y pendientes de revisión.</w:t>
      </w:r>
    </w:p>
    <w:p>
      <w:pPr>
        <w:pStyle w:val="ListBullet"/>
        <w:spacing w:after="60" w:line="252" w:lineRule="auto"/>
      </w:pPr>
      <w:r>
        <w:rPr>
          <w:rFonts w:ascii="Aptos" w:hAnsi="Aptos"/>
          <w:b w:val="0"/>
          <w:i w:val="0"/>
          <w:color w:val="202124"/>
          <w:sz w:val="20"/>
        </w:rPr>
        <w:t>Ejecutar los tres escenarios de pérdida, cambiar el criterio aplicable y conservar la justificación del Handler.</w:t>
      </w:r>
    </w:p>
    <w:p>
      <w:pPr>
        <w:pStyle w:val="ListBullet"/>
        <w:spacing w:after="60" w:line="252" w:lineRule="auto"/>
      </w:pPr>
      <w:r>
        <w:rPr>
          <w:rFonts w:ascii="Aptos" w:hAnsi="Aptos"/>
          <w:b w:val="0"/>
          <w:i w:val="0"/>
          <w:color w:val="202124"/>
          <w:sz w:val="20"/>
        </w:rPr>
        <w:t>Configurar mantenedores de cálculo y templates base, generar cartas con datos del caso y revisar pendientes de tokens.</w:t>
      </w:r>
    </w:p>
    <w:p>
      <w:pPr>
        <w:pStyle w:val="ListBullet"/>
        <w:spacing w:after="60" w:line="252" w:lineRule="auto"/>
      </w:pPr>
      <w:r>
        <w:rPr>
          <w:rFonts w:ascii="Aptos" w:hAnsi="Aptos"/>
          <w:b w:val="0"/>
          <w:i w:val="0"/>
          <w:color w:val="202124"/>
          <w:sz w:val="20"/>
        </w:rPr>
        <w:t>Probar alertas por inactividad, benchmark por Handler, memoria histórica y las condiciones de traspaso a FIS o Lawgistic.</w:t>
      </w:r>
    </w:p>
    <w:p>
      <w:pPr>
        <w:pStyle w:val="Heading2"/>
        <w:keepNext/>
        <w:spacing w:before="200" w:after="120"/>
      </w:pPr>
      <w:r>
        <w:rPr>
          <w:rFonts w:ascii="Aptos" w:hAnsi="Aptos"/>
          <w:b/>
          <w:i w:val="0"/>
          <w:color w:val="000000"/>
          <w:sz w:val="24"/>
        </w:rPr>
        <w:t>Qué no debe darse por cerrado todavía</w:t>
      </w:r>
    </w:p>
    <w:p>
      <w:pPr>
        <w:pStyle w:val="ListBullet"/>
        <w:spacing w:after="60" w:line="252" w:lineRule="auto"/>
      </w:pPr>
      <w:r>
        <w:rPr>
          <w:rFonts w:ascii="Aptos" w:hAnsi="Aptos"/>
          <w:b w:val="0"/>
          <w:i w:val="0"/>
          <w:color w:val="202124"/>
          <w:sz w:val="20"/>
        </w:rPr>
        <w:t>La exactitud contractual del monto calculado, mientras FIS no apruebe las fórmulas y ejemplos numéricos.</w:t>
      </w:r>
    </w:p>
    <w:p>
      <w:pPr>
        <w:pStyle w:val="ListBullet"/>
        <w:spacing w:after="60" w:line="252" w:lineRule="auto"/>
      </w:pPr>
      <w:r>
        <w:rPr>
          <w:rFonts w:ascii="Aptos" w:hAnsi="Aptos"/>
          <w:b w:val="0"/>
          <w:i w:val="0"/>
          <w:color w:val="202124"/>
          <w:sz w:val="20"/>
        </w:rPr>
        <w:t>La generación de cartas para uso externo, mientras no se aprueben archivos base, textos, firma y versión.</w:t>
      </w:r>
    </w:p>
    <w:p>
      <w:pPr>
        <w:pStyle w:val="ListBullet"/>
        <w:spacing w:after="60" w:line="252" w:lineRule="auto"/>
      </w:pPr>
      <w:r>
        <w:rPr>
          <w:rFonts w:ascii="Aptos" w:hAnsi="Aptos"/>
          <w:b w:val="0"/>
          <w:i w:val="0"/>
          <w:color w:val="202124"/>
          <w:sz w:val="20"/>
        </w:rPr>
        <w:t>La aceptación del OCR, mientras no exista un corpus de evaluación y una precisión mínima por documento y campo.</w:t>
      </w:r>
    </w:p>
    <w:p>
      <w:pPr>
        <w:pStyle w:val="ListBullet"/>
        <w:spacing w:after="60" w:line="252" w:lineRule="auto"/>
      </w:pPr>
      <w:r>
        <w:rPr>
          <w:rFonts w:ascii="Aptos" w:hAnsi="Aptos"/>
          <w:b w:val="0"/>
          <w:i w:val="0"/>
          <w:color w:val="202124"/>
          <w:sz w:val="20"/>
        </w:rPr>
        <w:t>La automatización productiva de correo, autenticación, almacenamiento de archivos y notificaciones reales, porque el demo utiliza persistencia local y simulación de envío.</w:t>
      </w:r>
    </w:p>
    <w:p>
      <w:pPr>
        <w:pStyle w:val="Heading1"/>
        <w:keepNext/>
        <w:spacing w:before="300" w:after="120"/>
      </w:pPr>
      <w:r>
        <w:rPr>
          <w:rFonts w:ascii="Aptos" w:hAnsi="Aptos"/>
          <w:b/>
          <w:i w:val="0"/>
          <w:color w:val="000000"/>
          <w:sz w:val="30"/>
        </w:rPr>
        <w:t>FIS 001 Cálculo de pérdida</w:t>
      </w:r>
    </w:p>
    <w:p>
      <w:pPr>
        <w:pStyle w:val="BodyText"/>
        <w:spacing w:after="80"/>
        <w:ind w:left="259"/>
      </w:pPr>
      <w:r>
        <w:rPr>
          <w:rFonts w:ascii="Aptos" w:hAnsi="Aptos"/>
          <w:b/>
          <w:i w:val="0"/>
          <w:color w:val="2E7D32"/>
          <w:sz w:val="21"/>
        </w:rPr>
        <w:t xml:space="preserve">Estado  </w:t>
      </w:r>
      <w:r>
        <w:rPr>
          <w:rFonts w:ascii="Aptos" w:hAnsi="Aptos"/>
          <w:b w:val="0"/>
          <w:i w:val="0"/>
          <w:color w:val="202124"/>
          <w:sz w:val="21"/>
        </w:rPr>
        <w:t>Operativo en el demo con tres métodos, venta a firme, monedas, conversión, trazabilidad y revisión humana.</w:t>
      </w:r>
    </w:p>
    <w:p>
      <w:pPr>
        <w:pStyle w:val="BodyText"/>
      </w:pPr>
      <w:r>
        <w:rPr>
          <w:rFonts w:ascii="Aptos" w:hAnsi="Aptos"/>
          <w:b w:val="0"/>
          <w:i w:val="0"/>
          <w:color w:val="202124"/>
          <w:sz w:val="21"/>
        </w:rPr>
        <w:t>El caso puede presentar los escenarios disponibles en paralelo para que el Handler seleccione el criterio aplicable. El sistema conserva entradas, documentos fuente, moneda de origen, moneda resultado, tipo de cambio, fecha, fuente y justificación. Los cálculos se realizan internamente con cuatro decimales y se muestran con dos decimales, preservando resultados negativos cuando correspondan.</w:t>
      </w:r>
    </w:p>
    <w:p>
      <w:pPr>
        <w:pStyle w:val="Heading2"/>
        <w:keepNext/>
        <w:spacing w:before="200" w:after="120"/>
      </w:pPr>
      <w:r>
        <w:rPr>
          <w:rFonts w:ascii="Aptos" w:hAnsi="Aptos"/>
          <w:b/>
          <w:i w:val="0"/>
          <w:color w:val="000000"/>
          <w:sz w:val="24"/>
        </w:rPr>
        <w:t>Reglas actualmente configuradas</w:t>
      </w:r>
    </w:p>
    <w:p>
      <w:pPr>
        <w:pStyle w:val="ListBullet"/>
        <w:spacing w:after="60" w:line="252" w:lineRule="auto"/>
      </w:pPr>
      <w:r>
        <w:rPr>
          <w:rFonts w:ascii="Aptos" w:hAnsi="Aptos"/>
          <w:b w:val="0"/>
          <w:i w:val="0"/>
          <w:color w:val="202124"/>
          <w:sz w:val="20"/>
        </w:rPr>
        <w:t>Método 1 embarque comparable: valor bruto de la liquidación comparable menos valor bruto de la liquidación real, normalizando a la cantidad afectada.</w:t>
      </w:r>
    </w:p>
    <w:p>
      <w:pPr>
        <w:pStyle w:val="ListBullet"/>
        <w:spacing w:after="60" w:line="252" w:lineRule="auto"/>
      </w:pPr>
      <w:r>
        <w:rPr>
          <w:rFonts w:ascii="Aptos" w:hAnsi="Aptos"/>
          <w:b w:val="0"/>
          <w:i w:val="0"/>
          <w:color w:val="202124"/>
          <w:sz w:val="20"/>
        </w:rPr>
        <w:t>Método 2 reporte de mercado: valor bruto del reporte de mercado menos valor bruto de la liquidación real.</w:t>
      </w:r>
    </w:p>
    <w:p>
      <w:pPr>
        <w:pStyle w:val="ListBullet"/>
        <w:spacing w:after="60" w:line="252" w:lineRule="auto"/>
      </w:pPr>
      <w:r>
        <w:rPr>
          <w:rFonts w:ascii="Aptos" w:hAnsi="Aptos"/>
          <w:b w:val="0"/>
          <w:i w:val="0"/>
          <w:color w:val="202124"/>
          <w:sz w:val="20"/>
        </w:rPr>
        <w:t>Método 3 factura versus venta en destino: valor de la factura de exportación menos venta neta en destino; admite ventas parciales consolidadas.</w:t>
      </w:r>
    </w:p>
    <w:p>
      <w:pPr>
        <w:pStyle w:val="ListBullet"/>
        <w:spacing w:after="60" w:line="252" w:lineRule="auto"/>
      </w:pPr>
      <w:r>
        <w:rPr>
          <w:rFonts w:ascii="Aptos" w:hAnsi="Aptos"/>
          <w:b w:val="0"/>
          <w:i w:val="0"/>
          <w:color w:val="202124"/>
          <w:sz w:val="20"/>
        </w:rPr>
        <w:t>Venta a firme: el sistema usa la nota de crédito como resultado cuando la condición y el respaldo están confirmados; una nota pendiente o anulada no permite cerrar el resultado.</w:t>
      </w:r>
    </w:p>
    <w:p>
      <w:pPr>
        <w:pStyle w:val="ListBullet"/>
        <w:spacing w:after="60" w:line="252" w:lineRule="auto"/>
      </w:pPr>
      <w:r>
        <w:rPr>
          <w:rFonts w:ascii="Aptos" w:hAnsi="Aptos"/>
          <w:b w:val="0"/>
          <w:i w:val="0"/>
          <w:color w:val="202124"/>
          <w:sz w:val="20"/>
        </w:rPr>
        <w:t>La conversión se expresa como “1 unidad de moneda de origen = X unidades de moneda de resultado” y se valida antes de guardar.</w:t>
      </w:r>
    </w:p>
    <w:p>
      <w:pPr>
        <w:pStyle w:val="Heading2"/>
        <w:keepNext/>
        <w:spacing w:before="200" w:after="120"/>
      </w:pPr>
      <w:r>
        <w:rPr>
          <w:rFonts w:ascii="Aptos" w:hAnsi="Aptos"/>
          <w:b/>
          <w:i w:val="0"/>
          <w:color w:val="000000"/>
          <w:sz w:val="24"/>
        </w:rPr>
        <w:t>Decisiones que FIS debe confirmar</w:t>
      </w:r>
    </w:p>
    <w:p>
      <w:pPr>
        <w:pStyle w:val="ListNumber"/>
        <w:spacing w:after="60" w:line="252" w:lineRule="auto"/>
      </w:pPr>
      <w:r>
        <w:rPr>
          <w:rFonts w:ascii="Aptos" w:hAnsi="Aptos"/>
          <w:b w:val="0"/>
          <w:i w:val="0"/>
          <w:color w:val="202124"/>
          <w:sz w:val="20"/>
        </w:rPr>
        <w:t>Aprobar o corregir formalmente la fórmula del Método 1 y del Método 2, indicando si la resta debe operar con valores brutos, netos o una combinación específica.</w:t>
      </w:r>
    </w:p>
    <w:p>
      <w:pPr>
        <w:pStyle w:val="ListNumber"/>
        <w:spacing w:after="60" w:line="252" w:lineRule="auto"/>
      </w:pPr>
      <w:r>
        <w:rPr>
          <w:rFonts w:ascii="Aptos" w:hAnsi="Aptos"/>
          <w:b w:val="0"/>
          <w:i w:val="0"/>
          <w:color w:val="202124"/>
          <w:sz w:val="20"/>
        </w:rPr>
        <w:t>Definir el documento que acredita que una venta es a firme y confirmar si el monto reclamable corresponde siempre al total de la nota de crédito.</w:t>
      </w:r>
    </w:p>
    <w:p>
      <w:pPr>
        <w:pStyle w:val="ListNumber"/>
        <w:spacing w:after="60" w:line="252" w:lineRule="auto"/>
      </w:pPr>
      <w:r>
        <w:rPr>
          <w:rFonts w:ascii="Aptos" w:hAnsi="Aptos"/>
          <w:b w:val="0"/>
          <w:i w:val="0"/>
          <w:color w:val="202124"/>
          <w:sz w:val="20"/>
        </w:rPr>
        <w:t>Entregar tres ejemplos numéricos aprobados por método: resultado positivo, resultado cero o negativo y caso incompleto.</w:t>
      </w:r>
    </w:p>
    <w:p>
      <w:pPr>
        <w:pStyle w:val="ListNumber"/>
        <w:spacing w:after="60" w:line="252" w:lineRule="auto"/>
      </w:pPr>
      <w:r>
        <w:rPr>
          <w:rFonts w:ascii="Aptos" w:hAnsi="Aptos"/>
          <w:b w:val="0"/>
          <w:i w:val="0"/>
          <w:color w:val="202124"/>
          <w:sz w:val="20"/>
        </w:rPr>
        <w:t>Confirmar costos, descuentos, comisiones, fletes, seguros, salvataje, impuestos, unidades, cantidades parciales y redondeos.</w:t>
      </w:r>
    </w:p>
    <w:p>
      <w:pPr>
        <w:pStyle w:val="ListNumber"/>
        <w:spacing w:after="60" w:line="252" w:lineRule="auto"/>
      </w:pPr>
      <w:r>
        <w:rPr>
          <w:rFonts w:ascii="Aptos" w:hAnsi="Aptos"/>
          <w:b w:val="0"/>
          <w:i w:val="0"/>
          <w:color w:val="202124"/>
          <w:sz w:val="20"/>
        </w:rPr>
        <w:t>Confirmar las fuentes aceptadas para reportes de mercado, la fecha del reporte, plaza, producto, calidad, unidad y tratamiento de gastos.</w:t>
      </w:r>
    </w:p>
    <w:p>
      <w:pPr>
        <w:pStyle w:val="BodyText"/>
      </w:pPr>
      <w:r>
        <w:rPr>
          <w:rFonts w:ascii="Aptos" w:hAnsi="Aptos"/>
          <w:b/>
          <w:i w:val="0"/>
          <w:color w:val="202124"/>
          <w:sz w:val="21"/>
        </w:rPr>
        <w:t>Mientras estas respuestas</w:t>
      </w:r>
      <w:r>
        <w:rPr>
          <w:rFonts w:ascii="Aptos" w:hAnsi="Aptos"/>
          <w:b w:val="0"/>
          <w:i w:val="0"/>
          <w:color w:val="202124"/>
          <w:sz w:val="21"/>
        </w:rPr>
        <w:t xml:space="preserve"> no estén aprobadas, el sistema debe permitir comparar escenarios y revisar el cálculo, pero no declarar el monto como definitivo ni habilitar el traspaso como “completo para producción”.</w:t>
      </w:r>
    </w:p>
    <w:p>
      <w:pPr>
        <w:pStyle w:val="Heading1"/>
        <w:keepNext/>
        <w:spacing w:before="300" w:after="120"/>
      </w:pPr>
      <w:r>
        <w:rPr>
          <w:rFonts w:ascii="Aptos" w:hAnsi="Aptos"/>
          <w:b/>
          <w:i w:val="0"/>
          <w:color w:val="000000"/>
          <w:sz w:val="30"/>
        </w:rPr>
        <w:t>FIS 002 Referencia interna</w:t>
      </w:r>
    </w:p>
    <w:p>
      <w:pPr>
        <w:pStyle w:val="BodyText"/>
        <w:spacing w:after="80"/>
        <w:ind w:left="259"/>
      </w:pPr>
      <w:r>
        <w:rPr>
          <w:rFonts w:ascii="Aptos" w:hAnsi="Aptos"/>
          <w:b/>
          <w:i w:val="0"/>
          <w:color w:val="2E7D32"/>
          <w:sz w:val="21"/>
        </w:rPr>
        <w:t xml:space="preserve">Estado  </w:t>
      </w:r>
      <w:r>
        <w:rPr>
          <w:rFonts w:ascii="Aptos" w:hAnsi="Aptos"/>
          <w:b w:val="0"/>
          <w:i w:val="0"/>
          <w:color w:val="202124"/>
          <w:sz w:val="21"/>
        </w:rPr>
        <w:t>Operativo en el demo: generación, edición controlada, detección de duplicados y trazabilidad de cambios.</w:t>
      </w:r>
    </w:p>
    <w:p>
      <w:pPr>
        <w:pStyle w:val="BodyText"/>
      </w:pPr>
      <w:r>
        <w:rPr>
          <w:rFonts w:ascii="Aptos" w:hAnsi="Aptos"/>
          <w:b w:val="0"/>
          <w:i w:val="0"/>
          <w:color w:val="202124"/>
          <w:sz w:val="21"/>
        </w:rPr>
        <w:t>La convención del demo usa el formato PRE-FIS-OPONENTE-AÑO DE ASIGNACIÓN-MM/AA DE PRESCRIPCIÓN-CORRELATIVO. La referencia cargada desde una carpeta se conserva, pero puede corregirse antes de continuar. Cada corrección guarda valor anterior, valor nuevo, usuario, fecha y motivo. Si existe una coincidencia, el sistema advierte y bloquea el cierre hasta resolverla.</w:t>
      </w:r>
    </w:p>
    <w:p>
      <w:pPr>
        <w:pStyle w:val="Heading2"/>
        <w:keepNext/>
        <w:spacing w:before="200" w:after="120"/>
      </w:pPr>
      <w:r>
        <w:rPr>
          <w:rFonts w:ascii="Aptos" w:hAnsi="Aptos"/>
          <w:b/>
          <w:i w:val="0"/>
          <w:color w:val="000000"/>
          <w:sz w:val="24"/>
        </w:rPr>
        <w:t>Respuesta que aún necesitamos de FIS</w:t>
      </w:r>
    </w:p>
    <w:p>
      <w:pPr>
        <w:pStyle w:val="ListBullet"/>
        <w:spacing w:after="60" w:line="252" w:lineRule="auto"/>
      </w:pPr>
      <w:r>
        <w:rPr>
          <w:rFonts w:ascii="Aptos" w:hAnsi="Aptos"/>
          <w:b w:val="0"/>
          <w:i w:val="0"/>
          <w:color w:val="202124"/>
          <w:sz w:val="20"/>
        </w:rPr>
        <w:t>Confirmar la fórmula canónica de cada componente, la fuente del correlativo, el responsable de asignarlo y la regla para históricos que no cumplen el formato actual.</w:t>
      </w:r>
    </w:p>
    <w:p>
      <w:pPr>
        <w:pStyle w:val="ListBullet"/>
        <w:spacing w:after="60" w:line="252" w:lineRule="auto"/>
      </w:pPr>
      <w:r>
        <w:rPr>
          <w:rFonts w:ascii="Aptos" w:hAnsi="Aptos"/>
          <w:b w:val="0"/>
          <w:i w:val="0"/>
          <w:color w:val="202124"/>
          <w:sz w:val="20"/>
        </w:rPr>
        <w:t>Confirmar qué fecha define el año y el mes de la referencia cuando cambia la fecha real de descarga o cuando la carpeta trae una fecha estimada.</w:t>
      </w:r>
    </w:p>
    <w:p>
      <w:pPr>
        <w:pStyle w:val="ListBullet"/>
        <w:spacing w:after="60" w:line="252" w:lineRule="auto"/>
      </w:pPr>
      <w:r>
        <w:rPr>
          <w:rFonts w:ascii="Aptos" w:hAnsi="Aptos"/>
          <w:b w:val="0"/>
          <w:i w:val="0"/>
          <w:color w:val="202124"/>
          <w:sz w:val="20"/>
        </w:rPr>
        <w:t>Entregar ejemplos aprobados de referencia nueva, histórica, corregida por prescripción, duplicada y excepcional que no debe modificarse.</w:t>
      </w:r>
    </w:p>
    <w:p>
      <w:pPr>
        <w:pStyle w:val="Heading1"/>
        <w:keepNext/>
        <w:spacing w:before="300" w:after="120"/>
      </w:pPr>
      <w:r>
        <w:rPr>
          <w:rFonts w:ascii="Aptos" w:hAnsi="Aptos"/>
          <w:b/>
          <w:i w:val="0"/>
          <w:color w:val="000000"/>
          <w:sz w:val="30"/>
        </w:rPr>
        <w:t>FIS 003 y FIS 004 Templates y Claim Notice</w:t>
      </w:r>
    </w:p>
    <w:p>
      <w:pPr>
        <w:pStyle w:val="BodyText"/>
        <w:spacing w:after="80"/>
        <w:ind w:left="259"/>
      </w:pPr>
      <w:r>
        <w:rPr>
          <w:rFonts w:ascii="Aptos" w:hAnsi="Aptos"/>
          <w:b/>
          <w:i w:val="0"/>
          <w:color w:val="9A6700"/>
          <w:sz w:val="21"/>
        </w:rPr>
        <w:t xml:space="preserve">Estado  </w:t>
      </w:r>
      <w:r>
        <w:rPr>
          <w:rFonts w:ascii="Aptos" w:hAnsi="Aptos"/>
          <w:b w:val="0"/>
          <w:i w:val="0"/>
          <w:color w:val="202124"/>
          <w:sz w:val="21"/>
        </w:rPr>
        <w:t>Existe un mantenedor de templates base y el demo puede generar documentos parametrizados; falta aprobación formal de los documentos de uso externo.</w:t>
      </w:r>
    </w:p>
    <w:p>
      <w:pPr>
        <w:pStyle w:val="BodyText"/>
      </w:pPr>
      <w:r>
        <w:rPr>
          <w:rFonts w:ascii="Aptos" w:hAnsi="Aptos"/>
          <w:b w:val="0"/>
          <w:i w:val="0"/>
          <w:color w:val="202124"/>
          <w:sz w:val="21"/>
        </w:rPr>
        <w:t>El mantenedor permite configurar cuatro templates base: AoR, Harvest, LoA y Claim Notice. Los campos pueden completarse desde los datos del expediente, los pendientes quedan visibles para revisión y la generación conserva la versión utilizada. En el demo, Claim Notice y carta de notificación a la naviera se tratan como el mismo documento, a la espera de confirmación de FIS.</w:t>
      </w:r>
    </w:p>
    <w:p>
      <w:pPr>
        <w:pStyle w:val="Heading2"/>
        <w:keepNext/>
        <w:spacing w:before="200" w:after="120"/>
      </w:pPr>
      <w:r>
        <w:rPr>
          <w:rFonts w:ascii="Aptos" w:hAnsi="Aptos"/>
          <w:b/>
          <w:i w:val="0"/>
          <w:color w:val="000000"/>
          <w:sz w:val="24"/>
        </w:rPr>
        <w:t>Material que FIS debe entregar o aprobar</w:t>
      </w:r>
    </w:p>
    <w:p>
      <w:pPr>
        <w:pStyle w:val="ListBullet"/>
        <w:spacing w:after="60" w:line="252" w:lineRule="auto"/>
      </w:pPr>
      <w:r>
        <w:rPr>
          <w:rFonts w:ascii="Aptos" w:hAnsi="Aptos"/>
          <w:b w:val="0"/>
          <w:i w:val="0"/>
          <w:color w:val="202124"/>
          <w:sz w:val="20"/>
        </w:rPr>
        <w:t>Archivo base de cada template, idealmente DOCX, junto con PDF de referencia.</w:t>
      </w:r>
    </w:p>
    <w:p>
      <w:pPr>
        <w:pStyle w:val="ListBullet"/>
        <w:spacing w:after="60" w:line="252" w:lineRule="auto"/>
      </w:pPr>
      <w:r>
        <w:rPr>
          <w:rFonts w:ascii="Aptos" w:hAnsi="Aptos"/>
          <w:b w:val="0"/>
          <w:i w:val="0"/>
          <w:color w:val="202124"/>
          <w:sz w:val="20"/>
        </w:rPr>
        <w:t>Nombre oficial, idioma, versión, fecha de vigencia, logo, encabezado, pie, remitente, destinatario y texto legal.</w:t>
      </w:r>
    </w:p>
    <w:p>
      <w:pPr>
        <w:pStyle w:val="ListBullet"/>
        <w:spacing w:after="60" w:line="252" w:lineRule="auto"/>
      </w:pPr>
      <w:r>
        <w:rPr>
          <w:rFonts w:ascii="Aptos" w:hAnsi="Aptos"/>
          <w:b w:val="0"/>
          <w:i w:val="0"/>
          <w:color w:val="202124"/>
          <w:sz w:val="20"/>
        </w:rPr>
        <w:t>Campos obligatorios y opcionales, campos editables, campos bloqueados, reglas de firma, firmante autorizado y correlativo.</w:t>
      </w:r>
    </w:p>
    <w:p>
      <w:pPr>
        <w:pStyle w:val="ListBullet"/>
        <w:spacing w:after="60" w:line="252" w:lineRule="auto"/>
      </w:pPr>
      <w:r>
        <w:rPr>
          <w:rFonts w:ascii="Aptos" w:hAnsi="Aptos"/>
          <w:b w:val="0"/>
          <w:i w:val="0"/>
          <w:color w:val="202124"/>
          <w:sz w:val="20"/>
        </w:rPr>
        <w:t>Formato final de descarga y lista de adjuntos obligatorios.</w:t>
      </w:r>
    </w:p>
    <w:p>
      <w:pPr>
        <w:pStyle w:val="ListBullet"/>
        <w:spacing w:after="60" w:line="252" w:lineRule="auto"/>
      </w:pPr>
      <w:r>
        <w:rPr>
          <w:rFonts w:ascii="Aptos" w:hAnsi="Aptos"/>
          <w:b w:val="0"/>
          <w:i w:val="0"/>
          <w:color w:val="202124"/>
          <w:sz w:val="20"/>
        </w:rPr>
        <w:t>Confirmación de si Claim Notice y carta de notificación son el mismo documento, dos documentos o variantes por jurisdicción o transportista.</w:t>
      </w:r>
    </w:p>
    <w:p>
      <w:pPr>
        <w:pStyle w:val="BodyText"/>
      </w:pPr>
      <w:r>
        <w:rPr>
          <w:rFonts w:ascii="Aptos" w:hAnsi="Aptos"/>
          <w:b/>
          <w:i w:val="0"/>
          <w:color w:val="202124"/>
          <w:sz w:val="21"/>
        </w:rPr>
        <w:t>La generación actual</w:t>
      </w:r>
      <w:r>
        <w:rPr>
          <w:rFonts w:ascii="Aptos" w:hAnsi="Aptos"/>
          <w:b w:val="0"/>
          <w:i w:val="0"/>
          <w:color w:val="202124"/>
          <w:sz w:val="21"/>
        </w:rPr>
        <w:t xml:space="preserve"> es válida para probar el flujo y la parametrización, no para enviar cartas externas hasta recibir el contenido legal y la versión aprobada.</w:t>
      </w:r>
    </w:p>
    <w:p>
      <w:pPr>
        <w:pStyle w:val="Heading1"/>
        <w:keepNext/>
        <w:spacing w:before="300" w:after="120"/>
      </w:pPr>
      <w:r>
        <w:rPr>
          <w:rFonts w:ascii="Aptos" w:hAnsi="Aptos"/>
          <w:b/>
          <w:i w:val="0"/>
          <w:color w:val="000000"/>
          <w:sz w:val="30"/>
        </w:rPr>
        <w:t>FIS 005 Inventario y checklist documental</w:t>
      </w:r>
    </w:p>
    <w:p>
      <w:pPr>
        <w:pStyle w:val="BodyText"/>
        <w:spacing w:after="80"/>
        <w:ind w:left="259"/>
      </w:pPr>
      <w:r>
        <w:rPr>
          <w:rFonts w:ascii="Aptos" w:hAnsi="Aptos"/>
          <w:b/>
          <w:i w:val="0"/>
          <w:color w:val="2E7D32"/>
          <w:sz w:val="21"/>
        </w:rPr>
        <w:t xml:space="preserve">Estado  </w:t>
      </w:r>
      <w:r>
        <w:rPr>
          <w:rFonts w:ascii="Aptos" w:hAnsi="Aptos"/>
          <w:b w:val="0"/>
          <w:i w:val="0"/>
          <w:color w:val="202124"/>
          <w:sz w:val="21"/>
        </w:rPr>
        <w:t>Operativo en el expediente: disponibilidad, faltantes, solicitudes, recepción, rechazo, no aplica, ilegible y revisión.</w:t>
      </w:r>
    </w:p>
    <w:p>
      <w:pPr>
        <w:pStyle w:val="BodyText"/>
      </w:pPr>
      <w:r>
        <w:rPr>
          <w:rFonts w:ascii="Aptos" w:hAnsi="Aptos"/>
          <w:b w:val="0"/>
          <w:i w:val="0"/>
          <w:color w:val="202124"/>
          <w:sz w:val="21"/>
        </w:rPr>
        <w:t>El expediente reconoce los 17 tipos documentales definidos para la prueba y permite relacionarlos con causa, método de cálculo y traspaso. La lectura por archivo identifica el documento, conserva su nombre y muestra el estado de extracción y la confianza de clasificación. Un documento faltante puede transformarse en solicitud y queda incluido en el seguimiento.</w:t>
      </w:r>
    </w:p>
    <w:p>
      <w:pPr>
        <w:pStyle w:val="Heading2"/>
        <w:keepNext/>
        <w:spacing w:before="200" w:after="120"/>
      </w:pPr>
      <w:r>
        <w:rPr>
          <w:rFonts w:ascii="Aptos" w:hAnsi="Aptos"/>
          <w:b/>
          <w:i w:val="0"/>
          <w:color w:val="000000"/>
          <w:sz w:val="24"/>
        </w:rPr>
        <w:t>Cierre pendiente</w:t>
      </w:r>
    </w:p>
    <w:p>
      <w:pPr>
        <w:pStyle w:val="ListBullet"/>
        <w:spacing w:after="60" w:line="252" w:lineRule="auto"/>
      </w:pPr>
      <w:r>
        <w:rPr>
          <w:rFonts w:ascii="Aptos" w:hAnsi="Aptos"/>
          <w:b w:val="0"/>
          <w:i w:val="0"/>
          <w:color w:val="202124"/>
          <w:sz w:val="20"/>
        </w:rPr>
        <w:t>Entregar la matriz oficial por tipo de caso que indique documento obligatorio, condicional, no aplica y condición de aplicabilidad.</w:t>
      </w:r>
    </w:p>
    <w:p>
      <w:pPr>
        <w:pStyle w:val="ListBullet"/>
        <w:spacing w:after="60" w:line="252" w:lineRule="auto"/>
      </w:pPr>
      <w:r>
        <w:rPr>
          <w:rFonts w:ascii="Aptos" w:hAnsi="Aptos"/>
          <w:b w:val="0"/>
          <w:i w:val="0"/>
          <w:color w:val="202124"/>
          <w:sz w:val="20"/>
        </w:rPr>
        <w:t>Confirmar si AoR y reporte de inspección pueden estar pendientes al traspasar y quién autoriza esa excepción.</w:t>
      </w:r>
    </w:p>
    <w:p>
      <w:pPr>
        <w:pStyle w:val="ListBullet"/>
        <w:spacing w:after="60" w:line="252" w:lineRule="auto"/>
      </w:pPr>
      <w:r>
        <w:rPr>
          <w:rFonts w:ascii="Aptos" w:hAnsi="Aptos"/>
          <w:b w:val="0"/>
          <w:i w:val="0"/>
          <w:color w:val="202124"/>
          <w:sz w:val="20"/>
        </w:rPr>
        <w:t>Confirmar los estados oficiales y si “ilegible” requiere nueva carga, solicitud al cliente o decisión del Handler.</w:t>
      </w:r>
    </w:p>
    <w:p>
      <w:pPr>
        <w:pStyle w:val="Heading1"/>
        <w:keepNext/>
        <w:spacing w:before="300" w:after="120"/>
      </w:pPr>
      <w:r>
        <w:rPr>
          <w:rFonts w:ascii="Aptos" w:hAnsi="Aptos"/>
          <w:b/>
          <w:i w:val="0"/>
          <w:color w:val="000000"/>
          <w:sz w:val="30"/>
        </w:rPr>
        <w:t>FIS 006 Revisión y traspaso</w:t>
      </w:r>
    </w:p>
    <w:p>
      <w:pPr>
        <w:pStyle w:val="BodyText"/>
        <w:spacing w:after="80"/>
        <w:ind w:left="259"/>
      </w:pPr>
      <w:r>
        <w:rPr>
          <w:rFonts w:ascii="Aptos" w:hAnsi="Aptos"/>
          <w:b/>
          <w:i w:val="0"/>
          <w:color w:val="9A6700"/>
          <w:sz w:val="21"/>
        </w:rPr>
        <w:t xml:space="preserve">Estado  </w:t>
      </w:r>
      <w:r>
        <w:rPr>
          <w:rFonts w:ascii="Aptos" w:hAnsi="Aptos"/>
          <w:b w:val="0"/>
          <w:i w:val="0"/>
          <w:color w:val="202124"/>
          <w:sz w:val="21"/>
        </w:rPr>
        <w:t>Operativo en demo: revisión del Handler, traspaso a FIS o Lawgistic, rechazo, reversa y registro en bitácora.</w:t>
      </w:r>
    </w:p>
    <w:p>
      <w:pPr>
        <w:pStyle w:val="BodyText"/>
      </w:pPr>
      <w:r>
        <w:rPr>
          <w:rFonts w:ascii="Aptos" w:hAnsi="Aptos"/>
          <w:b w:val="0"/>
          <w:i w:val="0"/>
          <w:color w:val="202124"/>
          <w:sz w:val="21"/>
        </w:rPr>
        <w:t>El caso puede avanzar desde procesamiento hasta pendiente de revisión, documentación, pérdida calculada y completo para traspaso. El Handler valida el resumen, causa, documentos, cálculo y destino. El Gerente puede rechazar o revertir con motivo. El expediente sigue editable después del traspaso en el demo, dejando registro del evento.</w:t>
      </w:r>
    </w:p>
    <w:p>
      <w:pPr>
        <w:pStyle w:val="Heading2"/>
        <w:keepNext/>
        <w:spacing w:before="200" w:after="120"/>
      </w:pPr>
      <w:r>
        <w:rPr>
          <w:rFonts w:ascii="Aptos" w:hAnsi="Aptos"/>
          <w:b/>
          <w:i w:val="0"/>
          <w:color w:val="000000"/>
          <w:sz w:val="24"/>
        </w:rPr>
        <w:t>Decisiones que deben quedar escritas por FIS</w:t>
      </w:r>
    </w:p>
    <w:p>
      <w:pPr>
        <w:pStyle w:val="ListNumber"/>
        <w:spacing w:after="60" w:line="252" w:lineRule="auto"/>
      </w:pPr>
      <w:r>
        <w:rPr>
          <w:rFonts w:ascii="Aptos" w:hAnsi="Aptos"/>
          <w:b w:val="0"/>
          <w:i w:val="0"/>
          <w:color w:val="202124"/>
          <w:sz w:val="20"/>
        </w:rPr>
        <w:t>Checklist mínimo para traspaso extrajudicial a FIS y para traspaso judicial a Lawgistic.</w:t>
      </w:r>
    </w:p>
    <w:p>
      <w:pPr>
        <w:pStyle w:val="ListNumber"/>
        <w:spacing w:after="60" w:line="252" w:lineRule="auto"/>
      </w:pPr>
      <w:r>
        <w:rPr>
          <w:rFonts w:ascii="Aptos" w:hAnsi="Aptos"/>
          <w:b w:val="0"/>
          <w:i w:val="0"/>
          <w:color w:val="202124"/>
          <w:sz w:val="20"/>
        </w:rPr>
        <w:t>Pendientes permitidos y quién puede autorizar cada excepción.</w:t>
      </w:r>
    </w:p>
    <w:p>
      <w:pPr>
        <w:pStyle w:val="ListNumber"/>
        <w:spacing w:after="60" w:line="252" w:lineRule="auto"/>
      </w:pPr>
      <w:r>
        <w:rPr>
          <w:rFonts w:ascii="Aptos" w:hAnsi="Aptos"/>
          <w:b w:val="0"/>
          <w:i w:val="0"/>
          <w:color w:val="202124"/>
          <w:sz w:val="20"/>
        </w:rPr>
        <w:t>Si el cálculo es siempre obligatorio o si existe una excepción documentada.</w:t>
      </w:r>
    </w:p>
    <w:p>
      <w:pPr>
        <w:pStyle w:val="ListNumber"/>
        <w:spacing w:after="60" w:line="252" w:lineRule="auto"/>
      </w:pPr>
      <w:r>
        <w:rPr>
          <w:rFonts w:ascii="Aptos" w:hAnsi="Aptos"/>
          <w:b w:val="0"/>
          <w:i w:val="0"/>
          <w:color w:val="202124"/>
          <w:sz w:val="20"/>
        </w:rPr>
        <w:t>Si el caso queda solo lectura después del traspaso, quién puede revertirlo y qué motivo exige la reversa.</w:t>
      </w:r>
    </w:p>
    <w:p>
      <w:pPr>
        <w:pStyle w:val="ListNumber"/>
        <w:spacing w:after="60" w:line="252" w:lineRule="auto"/>
      </w:pPr>
      <w:r>
        <w:rPr>
          <w:rFonts w:ascii="Aptos" w:hAnsi="Aptos"/>
          <w:b w:val="0"/>
          <w:i w:val="0"/>
          <w:color w:val="202124"/>
          <w:sz w:val="20"/>
        </w:rPr>
        <w:t>Si el traspaso es únicamente un cambio de estado o una entrega formal a otro sistema.</w:t>
      </w:r>
    </w:p>
    <w:p>
      <w:pPr>
        <w:pStyle w:val="BodyText"/>
      </w:pPr>
      <w:r>
        <w:rPr>
          <w:rFonts w:ascii="Aptos" w:hAnsi="Aptos"/>
          <w:b/>
          <w:i w:val="0"/>
          <w:color w:val="202124"/>
          <w:sz w:val="21"/>
        </w:rPr>
        <w:t>Punto especialmente pendiente</w:t>
      </w:r>
      <w:r>
        <w:rPr>
          <w:rFonts w:ascii="Aptos" w:hAnsi="Aptos"/>
          <w:b w:val="0"/>
          <w:i w:val="0"/>
          <w:color w:val="202124"/>
          <w:sz w:val="21"/>
        </w:rPr>
        <w:t>: el AoR aparece como carta requerida, pero también se ha considerado dentro de los documentos que podrían estar pendientes. FIS debe elegir una regla única para evitar cierres contradictorios.</w:t>
      </w:r>
    </w:p>
    <w:p>
      <w:pPr>
        <w:pStyle w:val="Heading1"/>
        <w:keepNext/>
        <w:spacing w:before="300" w:after="120"/>
      </w:pPr>
      <w:r>
        <w:rPr>
          <w:rFonts w:ascii="Aptos" w:hAnsi="Aptos"/>
          <w:b/>
          <w:i w:val="0"/>
          <w:color w:val="000000"/>
          <w:sz w:val="30"/>
        </w:rPr>
        <w:t>FIS 007 Inactividad y alertas</w:t>
      </w:r>
    </w:p>
    <w:p>
      <w:pPr>
        <w:pStyle w:val="BodyText"/>
        <w:spacing w:after="80"/>
        <w:ind w:left="259"/>
      </w:pPr>
      <w:r>
        <w:rPr>
          <w:rFonts w:ascii="Aptos" w:hAnsi="Aptos"/>
          <w:b/>
          <w:i w:val="0"/>
          <w:color w:val="2E7D32"/>
          <w:sz w:val="21"/>
        </w:rPr>
        <w:t xml:space="preserve">Estado  </w:t>
      </w:r>
      <w:r>
        <w:rPr>
          <w:rFonts w:ascii="Aptos" w:hAnsi="Aptos"/>
          <w:b w:val="0"/>
          <w:i w:val="0"/>
          <w:color w:val="202124"/>
          <w:sz w:val="21"/>
        </w:rPr>
        <w:t>Regla de más de 15 días corridos operativa en el demo, con zona horaria America Santiago y eventos de movimiento definidos.</w:t>
      </w:r>
    </w:p>
    <w:p>
      <w:pPr>
        <w:pStyle w:val="BodyText"/>
      </w:pPr>
      <w:r>
        <w:rPr>
          <w:rFonts w:ascii="Aptos" w:hAnsi="Aptos"/>
          <w:b w:val="0"/>
          <w:i w:val="0"/>
          <w:color w:val="202124"/>
          <w:sz w:val="21"/>
        </w:rPr>
        <w:t>El contador se reinicia solo con eventos que representan trabajo sobre el caso: cambio de estado, carga de documento, solicitud documental, cálculo generado o reversión de estado. Las visualizaciones, correcciones menores, generación de cartas o consultas no reinician por sí solas el contador. Las alertas se muestran al Handler y al Gerente; el demo registra envío, lectura y resolución.</w:t>
      </w:r>
    </w:p>
    <w:p>
      <w:pPr>
        <w:pStyle w:val="Heading2"/>
        <w:keepNext/>
        <w:spacing w:before="200" w:after="120"/>
      </w:pPr>
      <w:r>
        <w:rPr>
          <w:rFonts w:ascii="Aptos" w:hAnsi="Aptos"/>
          <w:b/>
          <w:i w:val="0"/>
          <w:color w:val="000000"/>
          <w:sz w:val="24"/>
        </w:rPr>
        <w:t>Respuesta pendiente</w:t>
      </w:r>
    </w:p>
    <w:p>
      <w:pPr>
        <w:pStyle w:val="ListBullet"/>
        <w:spacing w:after="60" w:line="252" w:lineRule="auto"/>
      </w:pPr>
      <w:r>
        <w:rPr>
          <w:rFonts w:ascii="Aptos" w:hAnsi="Aptos"/>
          <w:b w:val="0"/>
          <w:i w:val="0"/>
          <w:color w:val="202124"/>
          <w:sz w:val="20"/>
        </w:rPr>
        <w:t>Confirmar si la regla es “más de 15 días” o “15 días o más”, y si se cuentan siempre días corridos.</w:t>
      </w:r>
    </w:p>
    <w:p>
      <w:pPr>
        <w:pStyle w:val="ListBullet"/>
        <w:spacing w:after="60" w:line="252" w:lineRule="auto"/>
      </w:pPr>
      <w:r>
        <w:rPr>
          <w:rFonts w:ascii="Aptos" w:hAnsi="Aptos"/>
          <w:b w:val="0"/>
          <w:i w:val="0"/>
          <w:color w:val="202124"/>
          <w:sz w:val="20"/>
        </w:rPr>
        <w:t>Confirmar estados excluidos. El demo actualmente excluye los casos traspasados a FIS o Lawgistic como supuesto operativo.</w:t>
      </w:r>
    </w:p>
    <w:p>
      <w:pPr>
        <w:pStyle w:val="ListBullet"/>
        <w:spacing w:after="60" w:line="252" w:lineRule="auto"/>
      </w:pPr>
      <w:r>
        <w:rPr>
          <w:rFonts w:ascii="Aptos" w:hAnsi="Aptos"/>
          <w:b w:val="0"/>
          <w:i w:val="0"/>
          <w:color w:val="202124"/>
          <w:sz w:val="20"/>
        </w:rPr>
        <w:t>Confirmar destinatarios, canal, frecuencia de repetición, cierre o silencio de alertas y quién puede ejecutar esas acciones.</w:t>
      </w:r>
    </w:p>
    <w:p>
      <w:pPr>
        <w:pStyle w:val="ListBullet"/>
        <w:spacing w:after="60" w:line="252" w:lineRule="auto"/>
      </w:pPr>
      <w:r>
        <w:rPr>
          <w:rFonts w:ascii="Aptos" w:hAnsi="Aptos"/>
          <w:b w:val="0"/>
          <w:i w:val="0"/>
          <w:color w:val="202124"/>
          <w:sz w:val="20"/>
        </w:rPr>
        <w:t>Confirmar si la notificación por correo será real en la primera entrega o si queda como integración posterior. En el demo el envío es simulado.</w:t>
      </w:r>
    </w:p>
    <w:p>
      <w:pPr>
        <w:pStyle w:val="Heading1"/>
        <w:keepNext/>
        <w:spacing w:before="300" w:after="120"/>
      </w:pPr>
      <w:r>
        <w:rPr>
          <w:rFonts w:ascii="Aptos" w:hAnsi="Aptos"/>
          <w:b/>
          <w:i w:val="0"/>
          <w:color w:val="000000"/>
          <w:sz w:val="30"/>
        </w:rPr>
        <w:t>FIS 008 Monedas y tipo de cambio</w:t>
      </w:r>
    </w:p>
    <w:p>
      <w:pPr>
        <w:pStyle w:val="BodyText"/>
        <w:spacing w:after="80"/>
        <w:ind w:left="259"/>
      </w:pPr>
      <w:r>
        <w:rPr>
          <w:rFonts w:ascii="Aptos" w:hAnsi="Aptos"/>
          <w:b/>
          <w:i w:val="0"/>
          <w:color w:val="2E7D32"/>
          <w:sz w:val="21"/>
        </w:rPr>
        <w:t xml:space="preserve">Estado  </w:t>
      </w:r>
      <w:r>
        <w:rPr>
          <w:rFonts w:ascii="Aptos" w:hAnsi="Aptos"/>
          <w:b w:val="0"/>
          <w:i w:val="0"/>
          <w:color w:val="202124"/>
          <w:sz w:val="21"/>
        </w:rPr>
        <w:t>Conversión operativa en el demo para USD, EUR, CLP, CNY, HKD y GBP, con tasa, fecha y fuente trazables.</w:t>
      </w:r>
    </w:p>
    <w:p>
      <w:pPr>
        <w:pStyle w:val="BodyText"/>
      </w:pPr>
      <w:r>
        <w:rPr>
          <w:rFonts w:ascii="Aptos" w:hAnsi="Aptos"/>
          <w:b w:val="0"/>
          <w:i w:val="0"/>
          <w:color w:val="202124"/>
          <w:sz w:val="21"/>
        </w:rPr>
        <w:t>El cálculo separa moneda de origen y moneda de resultado. La tasa se expresa en una dirección única, se guarda junto a la fecha y la fuente, y puede ser manual cuando se documenta. Si la fecha de descarga está disponible, el formulario propone usarla y exige consistencia de fecha antes de guardar.</w:t>
      </w:r>
    </w:p>
    <w:p>
      <w:pPr>
        <w:pStyle w:val="Heading2"/>
        <w:keepNext/>
        <w:spacing w:before="200" w:after="120"/>
      </w:pPr>
      <w:r>
        <w:rPr>
          <w:rFonts w:ascii="Aptos" w:hAnsi="Aptos"/>
          <w:b/>
          <w:i w:val="0"/>
          <w:color w:val="000000"/>
          <w:sz w:val="24"/>
        </w:rPr>
        <w:t>Decisiones pendientes</w:t>
      </w:r>
    </w:p>
    <w:p>
      <w:pPr>
        <w:pStyle w:val="ListNumber"/>
        <w:spacing w:after="60" w:line="252" w:lineRule="auto"/>
      </w:pPr>
      <w:r>
        <w:rPr>
          <w:rFonts w:ascii="Aptos" w:hAnsi="Aptos"/>
          <w:b w:val="0"/>
          <w:i w:val="0"/>
          <w:color w:val="202124"/>
          <w:sz w:val="20"/>
        </w:rPr>
        <w:t>Catálogo oficial de monedas y moneda por defecto.</w:t>
      </w:r>
    </w:p>
    <w:p>
      <w:pPr>
        <w:pStyle w:val="ListNumber"/>
        <w:spacing w:after="60" w:line="252" w:lineRule="auto"/>
      </w:pPr>
      <w:r>
        <w:rPr>
          <w:rFonts w:ascii="Aptos" w:hAnsi="Aptos"/>
          <w:b w:val="0"/>
          <w:i w:val="0"/>
          <w:color w:val="202124"/>
          <w:sz w:val="20"/>
        </w:rPr>
        <w:t>Fuente oficial del tipo de cambio y periodicidad de actualización.</w:t>
      </w:r>
    </w:p>
    <w:p>
      <w:pPr>
        <w:pStyle w:val="ListNumber"/>
        <w:spacing w:after="60" w:line="252" w:lineRule="auto"/>
      </w:pPr>
      <w:r>
        <w:rPr>
          <w:rFonts w:ascii="Aptos" w:hAnsi="Aptos"/>
          <w:b w:val="0"/>
          <w:i w:val="0"/>
          <w:color w:val="202124"/>
          <w:sz w:val="20"/>
        </w:rPr>
        <w:t>Tratamiento de fines de semana y feriados.</w:t>
      </w:r>
    </w:p>
    <w:p>
      <w:pPr>
        <w:pStyle w:val="ListNumber"/>
        <w:spacing w:after="60" w:line="252" w:lineRule="auto"/>
      </w:pPr>
      <w:r>
        <w:rPr>
          <w:rFonts w:ascii="Aptos" w:hAnsi="Aptos"/>
          <w:b w:val="0"/>
          <w:i w:val="0"/>
          <w:color w:val="202124"/>
          <w:sz w:val="20"/>
        </w:rPr>
        <w:t>Quién puede modificar una tasa, cuándo se permite una tasa manual y qué respaldo debe adjuntarse.</w:t>
      </w:r>
    </w:p>
    <w:p>
      <w:pPr>
        <w:pStyle w:val="ListNumber"/>
        <w:spacing w:after="60" w:line="252" w:lineRule="auto"/>
      </w:pPr>
      <w:r>
        <w:rPr>
          <w:rFonts w:ascii="Aptos" w:hAnsi="Aptos"/>
          <w:b w:val="0"/>
          <w:i w:val="0"/>
          <w:color w:val="202124"/>
          <w:sz w:val="20"/>
        </w:rPr>
        <w:t>Qué hacer si no existe tasa para la fecha indicada.</w:t>
      </w:r>
    </w:p>
    <w:p>
      <w:pPr>
        <w:pStyle w:val="ListNumber"/>
        <w:spacing w:after="60" w:line="252" w:lineRule="auto"/>
      </w:pPr>
      <w:r>
        <w:rPr>
          <w:rFonts w:ascii="Aptos" w:hAnsi="Aptos"/>
          <w:b w:val="0"/>
          <w:i w:val="0"/>
          <w:color w:val="202124"/>
          <w:sz w:val="20"/>
        </w:rPr>
        <w:t>Qué hacer cuando un documento contiene un valor sin moneda explícita.</w:t>
      </w:r>
    </w:p>
    <w:p>
      <w:pPr>
        <w:pStyle w:val="ListNumber"/>
        <w:spacing w:after="60" w:line="252" w:lineRule="auto"/>
      </w:pPr>
      <w:r>
        <w:rPr>
          <w:rFonts w:ascii="Aptos" w:hAnsi="Aptos"/>
          <w:b w:val="0"/>
          <w:i w:val="0"/>
          <w:color w:val="202124"/>
          <w:sz w:val="20"/>
        </w:rPr>
        <w:t>Regla de redondeo por moneda y si el tipo de cambio queda congelado al aprobar el cálculo.</w:t>
      </w:r>
    </w:p>
    <w:p>
      <w:pPr>
        <w:pStyle w:val="Heading1"/>
        <w:keepNext/>
        <w:spacing w:before="300" w:after="120"/>
      </w:pPr>
      <w:r>
        <w:rPr>
          <w:rFonts w:ascii="Aptos" w:hAnsi="Aptos"/>
          <w:b/>
          <w:i w:val="0"/>
          <w:color w:val="000000"/>
          <w:sz w:val="30"/>
        </w:rPr>
        <w:t>FIS 009 Extracción OCR y aceptación</w:t>
      </w:r>
    </w:p>
    <w:p>
      <w:pPr>
        <w:pStyle w:val="BodyText"/>
        <w:spacing w:after="80"/>
        <w:ind w:left="259"/>
      </w:pPr>
      <w:r>
        <w:rPr>
          <w:rFonts w:ascii="Aptos" w:hAnsi="Aptos"/>
          <w:b/>
          <w:i w:val="0"/>
          <w:color w:val="9A6700"/>
          <w:sz w:val="21"/>
        </w:rPr>
        <w:t xml:space="preserve">Estado  </w:t>
      </w:r>
      <w:r>
        <w:rPr>
          <w:rFonts w:ascii="Aptos" w:hAnsi="Aptos"/>
          <w:b w:val="0"/>
          <w:i w:val="0"/>
          <w:color w:val="202124"/>
          <w:sz w:val="21"/>
        </w:rPr>
        <w:t>Pipeline base implementado: PDF nativo, OCR para escaneados e imágenes, XLS XLSX CSV, TXT JSON XML y MD, con estado por archivo y conflictos visibles.</w:t>
      </w:r>
    </w:p>
    <w:p>
      <w:pPr>
        <w:pStyle w:val="BodyText"/>
      </w:pPr>
      <w:r>
        <w:rPr>
          <w:rFonts w:ascii="Aptos" w:hAnsi="Aptos"/>
          <w:b w:val="0"/>
          <w:i w:val="0"/>
          <w:color w:val="202124"/>
          <w:sz w:val="21"/>
        </w:rPr>
        <w:t>El sistema procesa cada archivo de manera aislada. Clasifica por tipo, extrae campos cuando encuentra etiquetas o contenido reconocible, conserva la fuente y marca cada archivo como procesado, procesado con OCR, parcial, no soportado o requiere OCR. Si dos documentos entregan valores distintos para un campo crítico, el sistema muestra el conflicto y no elige automáticamente uno de ellos.</w:t>
      </w:r>
    </w:p>
    <w:p>
      <w:pPr>
        <w:pStyle w:val="BodyText"/>
      </w:pPr>
      <w:r>
        <w:rPr>
          <w:rFonts w:ascii="Aptos" w:hAnsi="Aptos"/>
          <w:b/>
          <w:i w:val="0"/>
          <w:color w:val="202124"/>
          <w:sz w:val="21"/>
        </w:rPr>
        <w:t>Como línea base técnica</w:t>
      </w:r>
      <w:r>
        <w:rPr>
          <w:rFonts w:ascii="Aptos" w:hAnsi="Aptos"/>
          <w:b w:val="0"/>
          <w:i w:val="0"/>
          <w:color w:val="202124"/>
          <w:sz w:val="21"/>
        </w:rPr>
        <w:t xml:space="preserve"> del demo, los PDFs escaneados se procesan mediante OCR y se conserva el estado de extracción; la aceptación contractual debe medirse contra archivos reales proporcionados por FIS y no contra los casos ficticios del demo.</w:t>
      </w:r>
    </w:p>
    <w:p>
      <w:pPr>
        <w:pStyle w:val="Heading2"/>
        <w:keepNext/>
        <w:spacing w:before="200" w:after="120"/>
      </w:pPr>
      <w:r>
        <w:rPr>
          <w:rFonts w:ascii="Aptos" w:hAnsi="Aptos"/>
          <w:b/>
          <w:i w:val="0"/>
          <w:color w:val="000000"/>
          <w:sz w:val="24"/>
        </w:rPr>
        <w:t>Información que FIS debe entregar para poder aceptar el OCR</w:t>
      </w:r>
    </w:p>
    <w:p>
      <w:pPr>
        <w:pStyle w:val="ListBullet"/>
        <w:spacing w:after="60" w:line="252" w:lineRule="auto"/>
      </w:pPr>
      <w:r>
        <w:rPr>
          <w:rFonts w:ascii="Aptos" w:hAnsi="Aptos"/>
          <w:b w:val="0"/>
          <w:i w:val="0"/>
          <w:color w:val="202124"/>
          <w:sz w:val="20"/>
        </w:rPr>
        <w:t>Corpus autorizado: casos completos, incompletos, ilegibles, ambiguos, PDF nativo, PDF escaneado, XLSX, XLS, CSV e imágenes.</w:t>
      </w:r>
    </w:p>
    <w:p>
      <w:pPr>
        <w:pStyle w:val="ListBullet"/>
        <w:spacing w:after="60" w:line="252" w:lineRule="auto"/>
      </w:pPr>
      <w:r>
        <w:rPr>
          <w:rFonts w:ascii="Aptos" w:hAnsi="Aptos"/>
          <w:b w:val="0"/>
          <w:i w:val="0"/>
          <w:color w:val="202124"/>
          <w:sz w:val="20"/>
        </w:rPr>
        <w:t>Idiomas, formatos de fecha, formatos de moneda y documentos que pueden tener nombres incorrectos.</w:t>
      </w:r>
    </w:p>
    <w:p>
      <w:pPr>
        <w:pStyle w:val="ListBullet"/>
        <w:spacing w:after="60" w:line="252" w:lineRule="auto"/>
      </w:pPr>
      <w:r>
        <w:rPr>
          <w:rFonts w:ascii="Aptos" w:hAnsi="Aptos"/>
          <w:b w:val="0"/>
          <w:i w:val="0"/>
          <w:color w:val="202124"/>
          <w:sz w:val="20"/>
        </w:rPr>
        <w:t>Campos obligatorios y opcionales para cada documento.</w:t>
      </w:r>
    </w:p>
    <w:p>
      <w:pPr>
        <w:pStyle w:val="ListBullet"/>
        <w:spacing w:after="60" w:line="252" w:lineRule="auto"/>
      </w:pPr>
      <w:r>
        <w:rPr>
          <w:rFonts w:ascii="Aptos" w:hAnsi="Aptos"/>
          <w:b w:val="0"/>
          <w:i w:val="0"/>
          <w:color w:val="202124"/>
          <w:sz w:val="20"/>
        </w:rPr>
        <w:t>Precisión mínima de clasificación y precisión mínima por cada campo crítico.</w:t>
      </w:r>
    </w:p>
    <w:p>
      <w:pPr>
        <w:pStyle w:val="ListBullet"/>
        <w:spacing w:after="60" w:line="252" w:lineRule="auto"/>
      </w:pPr>
      <w:r>
        <w:rPr>
          <w:rFonts w:ascii="Aptos" w:hAnsi="Aptos"/>
          <w:b w:val="0"/>
          <w:i w:val="0"/>
          <w:color w:val="202124"/>
          <w:sz w:val="20"/>
        </w:rPr>
        <w:t>Campos que siempre deben pasar por revisión humana y campos que solo pueden proponerse automáticamente.</w:t>
      </w:r>
    </w:p>
    <w:p>
      <w:pPr>
        <w:pStyle w:val="ListBullet"/>
        <w:spacing w:after="60" w:line="252" w:lineRule="auto"/>
      </w:pPr>
      <w:r>
        <w:rPr>
          <w:rFonts w:ascii="Aptos" w:hAnsi="Aptos"/>
          <w:b w:val="0"/>
          <w:i w:val="0"/>
          <w:color w:val="202124"/>
          <w:sz w:val="20"/>
        </w:rPr>
        <w:t>Documentos que no deben procesarse automáticamente.</w:t>
      </w:r>
    </w:p>
    <w:p>
      <w:pPr>
        <w:pStyle w:val="ListBullet"/>
        <w:spacing w:after="60" w:line="252" w:lineRule="auto"/>
      </w:pPr>
      <w:r>
        <w:rPr>
          <w:rFonts w:ascii="Aptos" w:hAnsi="Aptos"/>
          <w:b w:val="0"/>
          <w:i w:val="0"/>
          <w:color w:val="202124"/>
          <w:sz w:val="20"/>
        </w:rPr>
        <w:t>Regla para resolver conflictos entre BL, Booking, factura, liquidación, informe de mercado, inspección u otros documentos.</w:t>
      </w:r>
    </w:p>
    <w:p>
      <w:pPr>
        <w:pStyle w:val="BodyText"/>
      </w:pPr>
      <w:r>
        <w:rPr>
          <w:rFonts w:ascii="Aptos" w:hAnsi="Aptos"/>
          <w:b/>
          <w:i w:val="0"/>
          <w:color w:val="202124"/>
          <w:sz w:val="21"/>
        </w:rPr>
        <w:t>Campos críticos sugeridos</w:t>
      </w:r>
      <w:r>
        <w:rPr>
          <w:rFonts w:ascii="Aptos" w:hAnsi="Aptos"/>
          <w:b w:val="0"/>
          <w:i w:val="0"/>
          <w:color w:val="202124"/>
          <w:sz w:val="21"/>
        </w:rPr>
        <w:t xml:space="preserve"> para validar: referencia, BL, contenedor, nave, viaje, asegurado, oponente, fecha de descarga, moneda, valor de factura, liquidación real, valor comparable, valor de mercado, venta en destino y CS Claim No.</w:t>
      </w:r>
    </w:p>
    <w:p>
      <w:pPr>
        <w:pStyle w:val="Heading1"/>
        <w:keepNext/>
        <w:spacing w:before="300" w:after="120"/>
      </w:pPr>
      <w:r>
        <w:rPr>
          <w:rFonts w:ascii="Aptos" w:hAnsi="Aptos"/>
          <w:b/>
          <w:i w:val="0"/>
          <w:color w:val="000000"/>
          <w:sz w:val="30"/>
        </w:rPr>
        <w:t>Preguntas pendientes para FIS</w:t>
      </w:r>
    </w:p>
    <w:p>
      <w:pPr>
        <w:pStyle w:val="BodyText"/>
      </w:pPr>
      <w:r>
        <w:rPr>
          <w:rFonts w:ascii="Aptos" w:hAnsi="Aptos"/>
          <w:b w:val="0"/>
          <w:i w:val="0"/>
          <w:color w:val="202124"/>
          <w:sz w:val="21"/>
        </w:rPr>
        <w:t>Esta es la lista práctica que puede enviarse al cliente. Está redactada para obtener decisiones implementables y no respuestas genéricas. Para cada respuesta conviene indicar decisión, respaldo, responsable FIS, vigencia y excepciones.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547"/>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N°</w:t>
            </w:r>
          </w:p>
        </w:tc>
        <w:tc>
          <w:tcPr>
            <w:tcW w:type="dxa" w:w="979"/>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Punto</w:t>
            </w:r>
          </w:p>
        </w:tc>
        <w:tc>
          <w:tcPr>
            <w:tcW w:type="dxa" w:w="5976"/>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Pregunta concreta</w:t>
            </w:r>
          </w:p>
        </w:tc>
        <w:tc>
          <w:tcPr>
            <w:tcW w:type="dxa" w:w="2203"/>
            <w:vAlign w:val="center"/>
            <w:tcMar>
              <w:top w:w="100" w:type="dxa"/>
              <w:start w:w="120" w:type="dxa"/>
              <w:bottom w:w="100" w:type="dxa"/>
              <w:end w:w="120" w:type="dxa"/>
            </w:tcMar>
            <w:shd w:fill="20365F"/>
          </w:tcPr>
          <w:p>
            <w:pPr>
              <w:spacing w:after="0" w:line="252" w:lineRule="auto"/>
              <w:jc w:val="left"/>
            </w:pPr>
            <w:r/>
            <w:r>
              <w:rPr>
                <w:rFonts w:ascii="Aptos" w:hAnsi="Aptos"/>
                <w:b/>
                <w:i w:val="0"/>
                <w:color w:val="FFFFFF"/>
                <w:sz w:val="17"/>
              </w:rPr>
              <w:t>Por qué importa</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1</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FIS-001</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¿Aprobamos las fórmulas actuales de los Métodos 1 y 2? Si no, entregar fórmula corregida con ejemplo.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Bloquea validación de montos y traspaso.</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2</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FIS-001</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¿Qué documento prueba una venta a firme y cuándo la nota de crédito equivale al monto reclamable?</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Bloquea el cálculo específico de venta a firme.</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3</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FIS-001</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¿Qué costos, impuestos, descuentos, comisiones y redondeos entran en cada método?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Evita resultados distintos entre FIS y plataforma.</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4</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FIS-002</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¿Cuál es la estructura oficial de la referencia y cómo se resuelven históricos, duplicados y cambios de descarga?</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Afecta búsqueda, prescripción y trazabilidad.</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5</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FIS-003</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¿Cuáles son los archivos oficiales de AoR, Harvest, LoA y Claim Notice, con texto legal y firma?</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Sin esto solo existe una base de demo.</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6</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FIS-004</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¿Claim Notice y notificación a la naviera son el mismo documento?</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Evita duplicidad u omisión documental.</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7</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FIS-005</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¿Cuál es la matriz definitiva de documentos obligatorios, condicionales y no aplica?</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Define cuándo un expediente está completo.</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8</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FIS-005</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¿AoR y reporte de inspección pueden estar pendientes al traspasar? ¿Quién autoriza?</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Resuelve la contradicción actual.</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9</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FIS-006</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¿Cuál es el checklist mínimo para FIS y cuál para Lawgistic?</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Define el cierre y destino del caso.</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10</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FIS-006</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¿Qué pendientes se permiten, quién puede exceptuarlos y el expediente queda editable o solo lectura?</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Define gobernanza posterior al traspaso.</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11</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FIS-007</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¿La alerta se activa a los 15 días o después de 15 días? ¿Corridos o hábiles?</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Define el momento exacto del aviso.</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12</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FIS-007</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¿Qué estados se excluyen, quién recibe, por qué canal y con qué frecuencia se repite?</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Define operación real de alertas.</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13</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FIS-008</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¿Cuál es la fuente oficial, periodicidad, fecha y tratamiento de feriados del tipo de cambio?</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Afecta reproducibilidad financiera.</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14</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FIS-008</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¿Quién puede modificar la tasa y qué hacer si no existe o viene sin moneda?</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Evita cierres con conversión no respaldada.</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15</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FIS-009</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¿Cuál es el corpus real de aceptación y qué idiomas, formatos y documentos incluye?</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Sin corpus no existe prueba objetiva de OCR.</w:t>
            </w:r>
          </w:p>
        </w:tc>
      </w:tr>
      <w:tr>
        <w:trPr>
          <w:cantSplit/>
        </w:trPr>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16</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FIS-009</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¿Qué precisión mínima se exige por clasificación y por campo crítico?</w:t>
            </w:r>
          </w:p>
        </w:tc>
        <w:tc>
          <w:tcPr>
            <w:tcW w:type="dxa" w:w="2498"/>
            <w:vAlign w:val="center"/>
            <w:tcMar>
              <w:top w:w="100" w:type="dxa"/>
              <w:start w:w="120" w:type="dxa"/>
              <w:bottom w:w="100" w:type="dxa"/>
              <w:end w:w="120" w:type="dxa"/>
            </w:tcMar>
            <w:shd w:fill="EAF2F8"/>
          </w:tcPr>
          <w:p>
            <w:pPr>
              <w:spacing w:after="0" w:line="252" w:lineRule="auto"/>
              <w:jc w:val="left"/>
            </w:pPr>
            <w:r/>
            <w:r>
              <w:rPr>
                <w:rFonts w:ascii="Aptos" w:hAnsi="Aptos"/>
                <w:b w:val="0"/>
                <w:i w:val="0"/>
                <w:color w:val="202124"/>
                <w:sz w:val="16"/>
              </w:rPr>
              <w:t>Permite aprobar o rechazar la automatización.</w:t>
            </w:r>
          </w:p>
        </w:tc>
      </w:tr>
      <w:tr>
        <w:trPr>
          <w:cantSplit/>
        </w:trPr>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17</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FIS-009</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¿Qué campos siempre requieren revisión y cómo se resuelven conflictos documentales?</w:t>
            </w:r>
          </w:p>
        </w:tc>
        <w:tc>
          <w:tcPr>
            <w:tcW w:type="dxa" w:w="2498"/>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6"/>
              </w:rPr>
              <w:t>Evita que una extracción ambigua se convierta en decisión.</w:t>
            </w:r>
          </w:p>
        </w:tc>
      </w:tr>
    </w:tbl>
    <w:p>
      <w:pPr>
        <w:spacing w:after="40"/>
      </w:pPr>
    </w:p>
    <w:p>
      <w:pPr>
        <w:pStyle w:val="Heading2"/>
        <w:keepNext/>
        <w:spacing w:before="200" w:after="120"/>
      </w:pPr>
      <w:r>
        <w:rPr>
          <w:rFonts w:ascii="Aptos" w:hAnsi="Aptos"/>
          <w:b/>
          <w:i w:val="0"/>
          <w:color w:val="000000"/>
          <w:sz w:val="24"/>
        </w:rPr>
        <w:t>Formato de respuesta recomendado</w:t>
      </w:r>
    </w:p>
    <w:p>
      <w:pPr>
        <w:pStyle w:val="BodyText"/>
      </w:pPr>
      <w:r>
        <w:rPr>
          <w:rFonts w:ascii="Aptos" w:hAnsi="Aptos"/>
          <w:b w:val="0"/>
          <w:i w:val="0"/>
          <w:color w:val="202124"/>
          <w:sz w:val="21"/>
        </w:rPr>
        <w:t>Para que desarrollo pueda implementar sin volver a interpretar la respuesta, FIS puede contestar cada punto usando la siguiente ficha: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vAlign w:val="center"/>
            <w:tcMar>
              <w:top w:w="100" w:type="dxa"/>
              <w:start w:w="120" w:type="dxa"/>
              <w:bottom w:w="100" w:type="dxa"/>
              <w:end w:w="120" w:type="dxa"/>
            </w:tcMar>
            <w:shd w:fill="167C80"/>
          </w:tcPr>
          <w:p>
            <w:pPr>
              <w:spacing w:after="0" w:line="252" w:lineRule="auto"/>
              <w:jc w:val="left"/>
            </w:pPr>
            <w:r/>
            <w:r>
              <w:rPr>
                <w:rFonts w:ascii="Aptos" w:hAnsi="Aptos"/>
                <w:b/>
                <w:i w:val="0"/>
                <w:color w:val="FFFFFF"/>
                <w:sz w:val="17"/>
              </w:rPr>
              <w:t>Campo</w:t>
            </w:r>
          </w:p>
        </w:tc>
        <w:tc>
          <w:tcPr>
            <w:tcW w:type="dxa" w:w="7474"/>
            <w:vAlign w:val="center"/>
            <w:tcMar>
              <w:top w:w="100" w:type="dxa"/>
              <w:start w:w="120" w:type="dxa"/>
              <w:bottom w:w="100" w:type="dxa"/>
              <w:end w:w="120" w:type="dxa"/>
            </w:tcMar>
            <w:shd w:fill="167C80"/>
          </w:tcPr>
          <w:p>
            <w:pPr>
              <w:spacing w:after="0" w:line="252" w:lineRule="auto"/>
              <w:jc w:val="left"/>
            </w:pPr>
            <w:r/>
            <w:r>
              <w:rPr>
                <w:rFonts w:ascii="Aptos" w:hAnsi="Aptos"/>
                <w:b/>
                <w:i w:val="0"/>
                <w:color w:val="FFFFFF"/>
                <w:sz w:val="17"/>
              </w:rPr>
              <w:t>Qué debe contener</w:t>
            </w:r>
          </w:p>
        </w:tc>
      </w:tr>
      <w:tr>
        <w:trPr>
          <w:cantSplit/>
        </w:trPr>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ID</w:t>
            </w:r>
          </w:p>
        </w:tc>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FIS-001, FIS-002, etc.</w:t>
            </w:r>
          </w:p>
        </w:tc>
      </w:tr>
      <w:tr>
        <w:trPr>
          <w:cantSplit/>
        </w:trPr>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Decisión</w:t>
            </w:r>
          </w:p>
        </w:tc>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Aprobado, corregir o pendiente; incluir el valor exacto.</w:t>
            </w:r>
          </w:p>
        </w:tc>
      </w:tr>
      <w:tr>
        <w:trPr>
          <w:cantSplit/>
        </w:trPr>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Regla</w:t>
            </w:r>
          </w:p>
        </w:tc>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Fórmula, condición, documento o comportamiento esperado.</w:t>
            </w:r>
          </w:p>
        </w:tc>
      </w:tr>
      <w:tr>
        <w:trPr>
          <w:cantSplit/>
        </w:trPr>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Respaldo</w:t>
            </w:r>
          </w:p>
        </w:tc>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Nombre del archivo, template, contrato, correo o ejemplo.</w:t>
            </w:r>
          </w:p>
        </w:tc>
      </w:tr>
      <w:tr>
        <w:trPr>
          <w:cantSplit/>
        </w:trPr>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Responsable</w:t>
            </w:r>
          </w:p>
        </w:tc>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Nombre y cargo de quien valida por FIS.</w:t>
            </w:r>
          </w:p>
        </w:tc>
      </w:tr>
      <w:tr>
        <w:trPr>
          <w:cantSplit/>
        </w:trPr>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Vigencia</w:t>
            </w:r>
          </w:p>
        </w:tc>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Desde qué fecha aplica y si afecta históricos.</w:t>
            </w:r>
          </w:p>
        </w:tc>
      </w:tr>
      <w:tr>
        <w:trPr>
          <w:cantSplit/>
        </w:trPr>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Excepciones</w:t>
            </w:r>
          </w:p>
        </w:tc>
        <w:tc>
          <w:tcPr>
            <w:tcW w:type="dxa" w:w="4997"/>
            <w:vAlign w:val="center"/>
            <w:tcMar>
              <w:top w:w="100" w:type="dxa"/>
              <w:start w:w="120" w:type="dxa"/>
              <w:bottom w:w="100" w:type="dxa"/>
              <w:end w:w="120" w:type="dxa"/>
            </w:tcMar>
            <w:shd w:fill="FFFFFF"/>
          </w:tcPr>
          <w:p>
            <w:pPr>
              <w:spacing w:after="0" w:line="252" w:lineRule="auto"/>
              <w:jc w:val="left"/>
            </w:pPr>
            <w:r/>
            <w:r>
              <w:rPr>
                <w:rFonts w:ascii="Aptos" w:hAnsi="Aptos"/>
                <w:b w:val="0"/>
                <w:i w:val="0"/>
                <w:color w:val="202124"/>
                <w:sz w:val="18"/>
              </w:rPr>
              <w:t>Casos que se tratan distinto y quién los autoriza.</w:t>
            </w:r>
          </w:p>
        </w:tc>
      </w:tr>
      <w:tr>
        <w:trPr>
          <w:cantSplit/>
        </w:trPr>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Criterio de aceptación</w:t>
            </w:r>
          </w:p>
        </w:tc>
        <w:tc>
          <w:tcPr>
            <w:tcW w:type="dxa" w:w="4997"/>
            <w:vAlign w:val="center"/>
            <w:tcMar>
              <w:top w:w="100" w:type="dxa"/>
              <w:start w:w="120" w:type="dxa"/>
              <w:bottom w:w="100" w:type="dxa"/>
              <w:end w:w="120" w:type="dxa"/>
            </w:tcMar>
            <w:shd w:fill="E7F4F2"/>
          </w:tcPr>
          <w:p>
            <w:pPr>
              <w:spacing w:after="0" w:line="252" w:lineRule="auto"/>
              <w:jc w:val="left"/>
            </w:pPr>
            <w:r/>
            <w:r>
              <w:rPr>
                <w:rFonts w:ascii="Aptos" w:hAnsi="Aptos"/>
                <w:b w:val="0"/>
                <w:i w:val="0"/>
                <w:color w:val="202124"/>
                <w:sz w:val="18"/>
              </w:rPr>
              <w:t>Resultado esperado en una prueba concreta.</w:t>
            </w:r>
          </w:p>
        </w:tc>
      </w:tr>
    </w:tbl>
    <w:p>
      <w:pPr>
        <w:spacing w:after="40"/>
      </w:pPr>
    </w:p>
    <w:p>
      <w:pPr>
        <w:pStyle w:val="Heading2"/>
        <w:keepNext/>
        <w:spacing w:before="200" w:after="120"/>
      </w:pPr>
      <w:r>
        <w:rPr>
          <w:rFonts w:ascii="Aptos" w:hAnsi="Aptos"/>
          <w:b/>
          <w:i w:val="0"/>
          <w:color w:val="000000"/>
          <w:sz w:val="24"/>
        </w:rPr>
        <w:t>Orden recomendado para cerrar</w:t>
      </w:r>
    </w:p>
    <w:p>
      <w:pPr>
        <w:pStyle w:val="ListNumber"/>
        <w:spacing w:after="60" w:line="252" w:lineRule="auto"/>
      </w:pPr>
      <w:r>
        <w:rPr>
          <w:rFonts w:ascii="Aptos" w:hAnsi="Aptos"/>
          <w:b w:val="0"/>
          <w:i w:val="0"/>
          <w:color w:val="202124"/>
          <w:sz w:val="20"/>
        </w:rPr>
        <w:t>Cerrar primero FIS-001, porque los montos afectan cálculo, revisión y traspaso.</w:t>
      </w:r>
    </w:p>
    <w:p>
      <w:pPr>
        <w:pStyle w:val="ListNumber"/>
        <w:spacing w:after="60" w:line="252" w:lineRule="auto"/>
      </w:pPr>
      <w:r>
        <w:rPr>
          <w:rFonts w:ascii="Aptos" w:hAnsi="Aptos"/>
          <w:b w:val="0"/>
          <w:i w:val="0"/>
          <w:color w:val="202124"/>
          <w:sz w:val="20"/>
        </w:rPr>
        <w:t>Cerrar FIS-003 y FIS-004, porque las cartas requieren archivos y textos oficiales.</w:t>
      </w:r>
    </w:p>
    <w:p>
      <w:pPr>
        <w:pStyle w:val="ListNumber"/>
        <w:spacing w:after="60" w:line="252" w:lineRule="auto"/>
      </w:pPr>
      <w:r>
        <w:rPr>
          <w:rFonts w:ascii="Aptos" w:hAnsi="Aptos"/>
          <w:b w:val="0"/>
          <w:i w:val="0"/>
          <w:color w:val="202124"/>
          <w:sz w:val="20"/>
        </w:rPr>
        <w:t>Cerrar FIS-005 y FIS-006, porque determinan cuándo un caso está documentalmente listo y a qué destino se deriva.</w:t>
      </w:r>
    </w:p>
    <w:p>
      <w:pPr>
        <w:pStyle w:val="ListNumber"/>
        <w:spacing w:after="60" w:line="252" w:lineRule="auto"/>
      </w:pPr>
      <w:r>
        <w:rPr>
          <w:rFonts w:ascii="Aptos" w:hAnsi="Aptos"/>
          <w:b w:val="0"/>
          <w:i w:val="0"/>
          <w:color w:val="202124"/>
          <w:sz w:val="20"/>
        </w:rPr>
        <w:t>Cerrar FIS-008, porque cualquier conversión debe ser reproducible y auditable.</w:t>
      </w:r>
    </w:p>
    <w:p>
      <w:pPr>
        <w:pStyle w:val="ListNumber"/>
        <w:spacing w:after="60" w:line="252" w:lineRule="auto"/>
      </w:pPr>
      <w:r>
        <w:rPr>
          <w:rFonts w:ascii="Aptos" w:hAnsi="Aptos"/>
          <w:b w:val="0"/>
          <w:i w:val="0"/>
          <w:color w:val="202124"/>
          <w:sz w:val="20"/>
        </w:rPr>
        <w:t>Cerrar FIS-009 con corpus y métricas, porque solo así se puede aceptar la automatización documental.</w:t>
      </w:r>
    </w:p>
    <w:p>
      <w:pPr>
        <w:pStyle w:val="ListNumber"/>
        <w:spacing w:after="60" w:line="252" w:lineRule="auto"/>
      </w:pPr>
      <w:r>
        <w:rPr>
          <w:rFonts w:ascii="Aptos" w:hAnsi="Aptos"/>
          <w:b w:val="0"/>
          <w:i w:val="0"/>
          <w:color w:val="202124"/>
          <w:sz w:val="20"/>
        </w:rPr>
        <w:t>Por último, confirmar FIS-002 y FIS-007 junto con ejemplos de operación real y perfiles autorizados.</w:t>
      </w:r>
    </w:p>
    <w:p>
      <w:pPr>
        <w:pStyle w:val="Heading1"/>
        <w:keepNext/>
        <w:spacing w:before="300" w:after="120"/>
      </w:pPr>
      <w:r>
        <w:rPr>
          <w:rFonts w:ascii="Aptos" w:hAnsi="Aptos"/>
          <w:b/>
          <w:i w:val="0"/>
          <w:color w:val="000000"/>
          <w:sz w:val="30"/>
        </w:rPr>
        <w:t>Regla de control para desarrollo</w:t>
      </w:r>
    </w:p>
    <w:p>
      <w:pPr>
        <w:pStyle w:val="BodyText"/>
      </w:pPr>
      <w:r>
        <w:rPr>
          <w:rFonts w:ascii="Aptos" w:hAnsi="Aptos"/>
          <w:b w:val="0"/>
          <w:i w:val="0"/>
          <w:color w:val="202124"/>
          <w:sz w:val="21"/>
        </w:rPr>
        <w:t>Una respuesta de FIS no debe quedar solo en un correo o conversación. Debe convertirse en una configuración versionada, una regla de negocio, un template aprobado, un caso de prueba y una evidencia de auditoría. Si una definición cambia, se crea una nueva versión y no se modifican silenciosamente cálculos, cartas o expedientes ya aprobados.</w:t>
      </w:r>
    </w:p>
    <w:p>
      <w:pPr>
        <w:pStyle w:val="BodyText"/>
      </w:pPr>
      <w:r>
        <w:rPr>
          <w:rFonts w:ascii="Aptos" w:hAnsi="Aptos"/>
          <w:b/>
          <w:i w:val="0"/>
          <w:color w:val="202124"/>
          <w:sz w:val="21"/>
        </w:rPr>
        <w:t>El demo queda preparado</w:t>
      </w:r>
      <w:r>
        <w:rPr>
          <w:rFonts w:ascii="Aptos" w:hAnsi="Aptos"/>
          <w:b w:val="0"/>
          <w:i w:val="0"/>
          <w:color w:val="202124"/>
          <w:sz w:val="21"/>
        </w:rPr>
        <w:t xml:space="preserve"> para continuar la validación sin bloquear la revisión humana. La recomendación es que el cierre contractual se declare únicamente cuando todas las preguntas bloqueantes estén respondidas, los archivos oficiales estén cargados y los casos de prueba de cálculo y OCR produzcan los resultados esperados.</w:t>
      </w:r>
    </w:p>
    <w:sectPr w:rsidR="00FC693F" w:rsidRPr="0006063C" w:rsidSect="00034616">
      <w:headerReference w:type="default" r:id="rId9"/>
      <w:footerReference w:type="default" r:id="rId10"/>
      <w:pgSz w:w="12240" w:h="15840"/>
      <w:pgMar w:top="979" w:right="1123" w:bottom="893" w:left="1123"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C6773"/>
        <w:sz w:val="16"/>
      </w:rPr>
      <w:t xml:space="preserve">Documento de trabajo para validación de FIS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67C80"/>
        <w:sz w:val="16"/>
      </w:rPr>
      <w:t>INTERVENT PRECLAIM  |  CONSOLIDADO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2" w:lineRule="auto"/>
    </w:pPr>
    <w:rPr>
      <w:rFonts w:ascii="Aptos" w:hAnsi="Aptos"/>
      <w:color w:val="20212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color w:val="202124"/>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ptos" w:hAnsi="Aptos"/>
      <w:color w:val="202124"/>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color w:val="20212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Consolidado funcional y pendientes de definición FIS</dc:title>
  <dc:subject>Estado implementado y preguntas pendientes para cierre funcional</dc:subject>
  <dc:creator>Intervent Preclaim</dc:creator>
  <cp:keywords>FIS, Intervent, Preclaim, cálculo, OCR, templates, cierre funcional</cp:keywords>
  <dc:description>generated by python-docx</dc:description>
  <cp:lastModifiedBy/>
  <cp:revision>1</cp:revision>
  <dcterms:created xsi:type="dcterms:W3CDTF">2013-12-23T23:15:00Z</dcterms:created>
  <dcterms:modified xsi:type="dcterms:W3CDTF">2013-12-23T23:15:00Z</dcterms:modified>
  <cp:category/>
</cp:coreProperties>
</file>