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Preguntas para cierre funcional con FIS</w:t>
      </w:r>
    </w:p>
    <w:p>
      <w:pPr>
        <w:spacing w:after="180"/>
      </w:pPr>
      <w:r>
        <w:rPr>
          <w:rFonts w:ascii="Arial" w:hAnsi="Arial"/>
          <w:b/>
          <w:color w:val="147C82"/>
          <w:sz w:val="24"/>
        </w:rPr>
        <w:t>Definiciones requeridas para aprobar el alcance, la UAT y la salida a producción</w:t>
      </w:r>
    </w:p>
    <w:p>
      <w:pPr>
        <w:spacing w:after="20"/>
      </w:pPr>
      <w:r>
        <w:rPr>
          <w:b/>
          <w:color w:val="607391"/>
          <w:sz w:val="18"/>
        </w:rPr>
        <w:t xml:space="preserve">Estado: </w:t>
      </w:r>
      <w:r>
        <w:rPr>
          <w:color w:val="607391"/>
          <w:sz w:val="18"/>
        </w:rPr>
        <w:t>Documento de trabajo para decisión del cliente</w:t>
      </w:r>
    </w:p>
    <w:p>
      <w:pPr>
        <w:spacing w:after="20"/>
      </w:pPr>
      <w:r>
        <w:rPr>
          <w:b/>
          <w:color w:val="607391"/>
          <w:sz w:val="18"/>
        </w:rPr>
        <w:t xml:space="preserve">Fecha: </w:t>
      </w:r>
      <w:r>
        <w:rPr>
          <w:color w:val="607391"/>
          <w:sz w:val="18"/>
        </w:rPr>
        <w:t>17 septiembre 2026</w:t>
      </w:r>
    </w:p>
    <w:p>
      <w:pPr>
        <w:spacing w:after="20"/>
      </w:pPr>
      <w:r>
        <w:rPr>
          <w:b/>
          <w:color w:val="607391"/>
          <w:sz w:val="18"/>
        </w:rPr>
        <w:t xml:space="preserve">Objetivo: </w:t>
      </w:r>
      <w:r>
        <w:rPr>
          <w:color w:val="607391"/>
          <w:sz w:val="18"/>
        </w:rPr>
        <w:t>Cerrar reglas, datos, plantillas y criterios que todavía no están definidos de forma inequívoca</w:t>
      </w:r>
    </w:p>
    <w:p>
      <w:pPr>
        <w:spacing w:after="20"/>
      </w:pPr>
    </w:p>
    <w:p>
      <w:r>
        <w:t>Este documento reúne las preguntas que FIS debe responder para transformar el demo en una especificación aprobada. Cada respuesta debería indicar una regla final, un responsable, una fecha de vigencia y, cuando corresponda, un archivo o ejemplo oficial que permita probarla.</w:t>
      </w:r>
    </w:p>
    <w:p>
      <w:pPr>
        <w:pStyle w:val="Heading1"/>
      </w:pPr>
      <w:r>
        <w:t>1. Cómo usar este documento</w:t>
      </w:r>
    </w:p>
    <w:p>
      <w:pPr>
        <w:pStyle w:val="ListBullet"/>
        <w:spacing w:after="60"/>
      </w:pPr>
      <w:r>
        <w:t>Responder cada pregunta con una decisión concreta. Evitar respuestas del tipo depende sin indicar la condición que determina el resultado.</w:t>
      </w:r>
    </w:p>
    <w:p>
      <w:pPr>
        <w:pStyle w:val="ListBullet"/>
        <w:spacing w:after="60"/>
      </w:pPr>
      <w:r>
        <w:t>Adjuntar ejemplos aprobados para fórmulas, referencias y cartas; esos ejemplos serán la base de la UAT.</w:t>
      </w:r>
    </w:p>
    <w:p>
      <w:pPr>
        <w:pStyle w:val="ListBullet"/>
        <w:spacing w:after="60"/>
      </w:pPr>
      <w:r>
        <w:t>Marcar cada tema como Contractual, Evolución o No aplica para separar la línea base de futuras mejoras.</w:t>
      </w:r>
    </w:p>
    <w:p>
      <w:pPr>
        <w:pStyle w:val="ListBullet"/>
        <w:spacing w:after="60"/>
      </w:pPr>
      <w:r>
        <w:t>Identificar dueño de la decisión y fecha de aprobación para mantener una única versión de la verdad.</w:t>
      </w:r>
    </w:p>
    <w:p>
      <w:r>
        <w:rPr>
          <w:b/>
        </w:rPr>
        <w:t>Orden sugerido:</w:t>
      </w:r>
      <w:r>
        <w:t xml:space="preserve"> primero cálculos, referencia, prescripción y cartas; luego checklist, traspaso, inactividad y alertas; finalmente memoria, corpus documental y condiciones operativas.</w:t>
      </w:r>
    </w:p>
    <w:p>
      <w:pPr>
        <w:pStyle w:val="Heading1"/>
      </w:pPr>
      <w:r>
        <w:t>2. Preguntas prioritarias</w:t>
      </w:r>
    </w:p>
    <w:p>
      <w:r>
        <w:t>Estas son las definiciones que pueden cambiar el resultado del sistema o impedir una aceptación objetiva.</w:t>
      </w:r>
    </w:p>
    <w:tbl>
      <w:tblPr>
        <w:tblW w:type="auto" w:w="0"/>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4"/>
              </w:rPr>
              <w:t>Prioridad</w:t>
            </w:r>
          </w:p>
        </w:tc>
        <w:tc>
          <w:tcPr>
            <w:tcW w:type="dxa" w:w="1036"/>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4"/>
              </w:rPr>
              <w:t>ID</w:t>
            </w:r>
          </w:p>
        </w:tc>
        <w:tc>
          <w:tcPr>
            <w:tcW w:type="dxa" w:w="4392"/>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4"/>
              </w:rPr>
              <w:t>Pregunta para FIS</w:t>
            </w:r>
          </w:p>
        </w:tc>
        <w:tc>
          <w:tcPr>
            <w:tcW w:type="dxa" w:w="2736"/>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4"/>
              </w:rPr>
              <w:t>Respuesta o entregable esperado</w:t>
            </w:r>
          </w:p>
        </w:tc>
        <w:tc>
          <w:tcPr>
            <w:tcW w:type="dxa" w:w="1195"/>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4"/>
              </w:rPr>
              <w:t>Impacto</w:t>
            </w:r>
          </w:p>
        </w:tc>
      </w:tr>
      <w:tr>
        <w:trPr>
          <w:cantSplit/>
        </w:trPr>
        <w:tc>
          <w:tcPr>
            <w:tcW w:type="dxa" w:w="792"/>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P0</w:t>
            </w:r>
          </w:p>
        </w:tc>
        <w:tc>
          <w:tcPr>
            <w:tcW w:type="dxa" w:w="103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OPEN-001</w:t>
            </w:r>
          </w:p>
        </w:tc>
        <w:tc>
          <w:tcPr>
            <w:tcW w:type="dxa" w:w="4392"/>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¿Cuál es la fórmula oficial de cada método de cálculo de pérdida? Confirmar base bruta o neta, costos incluidos/excluidos, unidades, topes, mínimos, tipo de cambio, redondeo y tratamiento de datos faltantes.</w:t>
            </w:r>
          </w:p>
        </w:tc>
        <w:tc>
          <w:tcPr>
            <w:tcW w:type="dxa" w:w="273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Documento de fórmulas + al menos 3 casos resueltos y aprobados.</w:t>
            </w:r>
          </w:p>
        </w:tc>
        <w:tc>
          <w:tcPr>
            <w:tcW w:type="dxa" w:w="1195"/>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Cálculo y UAT</w:t>
            </w:r>
          </w:p>
        </w:tc>
      </w:tr>
      <w:tr>
        <w:trPr>
          <w:cantSplit/>
        </w:trPr>
        <w:tc>
          <w:tcPr>
            <w:tcW w:type="dxa" w:w="792"/>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P1</w:t>
            </w:r>
          </w:p>
        </w:tc>
        <w:tc>
          <w:tcPr>
            <w:tcW w:type="dxa" w:w="103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OPEN-002</w:t>
            </w:r>
          </w:p>
        </w:tc>
        <w:tc>
          <w:tcPr>
            <w:tcW w:type="dxa" w:w="4392"/>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¿Cuál es la estructura oficial de la referencia? Confirmar prefijos, año, mes, operador, correlativo, separadores, cambios permitidos, fuente de verdad y regla de duplicidad.</w:t>
            </w:r>
          </w:p>
        </w:tc>
        <w:tc>
          <w:tcPr>
            <w:tcW w:type="dxa" w:w="273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Ejemplos válidos, inválidos, duplicados y modificados.</w:t>
            </w:r>
          </w:p>
        </w:tc>
        <w:tc>
          <w:tcPr>
            <w:tcW w:type="dxa" w:w="1195"/>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Identidad del caso</w:t>
            </w:r>
          </w:p>
        </w:tc>
      </w:tr>
      <w:tr>
        <w:trPr>
          <w:cantSplit/>
        </w:trPr>
        <w:tc>
          <w:tcPr>
            <w:tcW w:type="dxa" w:w="792"/>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P1</w:t>
            </w:r>
          </w:p>
        </w:tc>
        <w:tc>
          <w:tcPr>
            <w:tcW w:type="dxa" w:w="103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OPEN-003</w:t>
            </w:r>
          </w:p>
        </w:tc>
        <w:tc>
          <w:tcPr>
            <w:tcW w:type="dxa" w:w="4392"/>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¿Qué matriz de prescripción debe aplicar por jurisdicción y modo? Confirmar base de cómputo, descarga real o ETA, plazo, extensiones, feriados, excepciones y responsable de actualización.</w:t>
            </w:r>
          </w:p>
        </w:tc>
        <w:tc>
          <w:tcPr>
            <w:tcW w:type="dxa" w:w="273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Matriz jurídica versionada y aprobada.</w:t>
            </w:r>
          </w:p>
        </w:tc>
        <w:tc>
          <w:tcPr>
            <w:tcW w:type="dxa" w:w="1195"/>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Alertas y cierre</w:t>
            </w:r>
          </w:p>
        </w:tc>
      </w:tr>
      <w:tr>
        <w:trPr>
          <w:cantSplit/>
        </w:trPr>
        <w:tc>
          <w:tcPr>
            <w:tcW w:type="dxa" w:w="792"/>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P1</w:t>
            </w:r>
          </w:p>
        </w:tc>
        <w:tc>
          <w:tcPr>
            <w:tcW w:type="dxa" w:w="103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OPEN-004</w:t>
            </w:r>
          </w:p>
        </w:tc>
        <w:tc>
          <w:tcPr>
            <w:tcW w:type="dxa" w:w="4392"/>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¿Claim Notice y Carta de notificación a la naviera son el mismo documento o dos documentos distintos? Si son distintos, ¿qué uso y destinatario tiene cada uno?</w:t>
            </w:r>
          </w:p>
        </w:tc>
        <w:tc>
          <w:tcPr>
            <w:tcW w:type="dxa" w:w="273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Definición de catálogo y nombre oficial.</w:t>
            </w:r>
          </w:p>
        </w:tc>
        <w:tc>
          <w:tcPr>
            <w:tcW w:type="dxa" w:w="1195"/>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Inventario y cartas</w:t>
            </w:r>
          </w:p>
        </w:tc>
      </w:tr>
      <w:tr>
        <w:trPr>
          <w:cantSplit/>
        </w:trPr>
        <w:tc>
          <w:tcPr>
            <w:tcW w:type="dxa" w:w="792"/>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P1</w:t>
            </w:r>
          </w:p>
        </w:tc>
        <w:tc>
          <w:tcPr>
            <w:tcW w:type="dxa" w:w="103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OPEN-005</w:t>
            </w:r>
          </w:p>
        </w:tc>
        <w:tc>
          <w:tcPr>
            <w:tcW w:type="dxa" w:w="4392"/>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¿Cuáles son los textos legales, campos obligatorios, idioma, formato, membrete, firma y reglas de versión para AoR, Harvest, LoA y Claim Notice?</w:t>
            </w:r>
          </w:p>
        </w:tc>
        <w:tc>
          <w:tcPr>
            <w:tcW w:type="dxa" w:w="273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Cuatro templates oficiales editables y un ejemplo aprobado por tipo.</w:t>
            </w:r>
          </w:p>
        </w:tc>
        <w:tc>
          <w:tcPr>
            <w:tcW w:type="dxa" w:w="1195"/>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Generación documental</w:t>
            </w:r>
          </w:p>
        </w:tc>
      </w:tr>
      <w:tr>
        <w:trPr>
          <w:cantSplit/>
        </w:trPr>
        <w:tc>
          <w:tcPr>
            <w:tcW w:type="dxa" w:w="792"/>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P2</w:t>
            </w:r>
          </w:p>
        </w:tc>
        <w:tc>
          <w:tcPr>
            <w:tcW w:type="dxa" w:w="103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OPEN-006</w:t>
            </w:r>
          </w:p>
        </w:tc>
        <w:tc>
          <w:tcPr>
            <w:tcW w:type="dxa" w:w="4392"/>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¿Cuál es el checklist de cierre por tipo de caso? Indicar documentos obligatorios, documentos que pueden ser N/A, evidencias mínimas y quién puede confirmar cada punto.</w:t>
            </w:r>
          </w:p>
        </w:tc>
        <w:tc>
          <w:tcPr>
            <w:tcW w:type="dxa" w:w="273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Checklist oficial por caso y criterios de excepción.</w:t>
            </w:r>
          </w:p>
        </w:tc>
        <w:tc>
          <w:tcPr>
            <w:tcW w:type="dxa" w:w="1195"/>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Traspaso</w:t>
            </w:r>
          </w:p>
        </w:tc>
      </w:tr>
      <w:tr>
        <w:trPr>
          <w:cantSplit/>
        </w:trPr>
        <w:tc>
          <w:tcPr>
            <w:tcW w:type="dxa" w:w="792"/>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P2</w:t>
            </w:r>
          </w:p>
        </w:tc>
        <w:tc>
          <w:tcPr>
            <w:tcW w:type="dxa" w:w="103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OPEN-007</w:t>
            </w:r>
          </w:p>
        </w:tc>
        <w:tc>
          <w:tcPr>
            <w:tcW w:type="dxa" w:w="4392"/>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¿Qué condiciones exactas habilitan el traspaso a FIS para recupero extrajudicial y a Lawgistic para recupero judicial? ¿Qué estado debe quedar y quién puede revertirlo?</w:t>
            </w:r>
          </w:p>
        </w:tc>
        <w:tc>
          <w:tcPr>
            <w:tcW w:type="dxa" w:w="273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Matriz de estados, guardas, destino y reversa.</w:t>
            </w:r>
          </w:p>
        </w:tc>
        <w:tc>
          <w:tcPr>
            <w:tcW w:type="dxa" w:w="1195"/>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Workflow</w:t>
            </w:r>
          </w:p>
        </w:tc>
      </w:tr>
      <w:tr>
        <w:trPr>
          <w:cantSplit/>
        </w:trPr>
        <w:tc>
          <w:tcPr>
            <w:tcW w:type="dxa" w:w="792"/>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P2</w:t>
            </w:r>
          </w:p>
        </w:tc>
        <w:tc>
          <w:tcPr>
            <w:tcW w:type="dxa" w:w="103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OPEN-008</w:t>
            </w:r>
          </w:p>
        </w:tc>
        <w:tc>
          <w:tcPr>
            <w:tcW w:type="dxa" w:w="4392"/>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¿Qué evento reinicia el contador de inactividad? Confirmar si son días calendario o hábiles, umbral, estados excluidos, horario de corte y qué actividades cuentan como movimiento.</w:t>
            </w:r>
          </w:p>
        </w:tc>
        <w:tc>
          <w:tcPr>
            <w:tcW w:type="dxa" w:w="273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Regla de inactividad con ejemplos de fechas.</w:t>
            </w:r>
          </w:p>
        </w:tc>
        <w:tc>
          <w:tcPr>
            <w:tcW w:type="dxa" w:w="1195"/>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Alertas</w:t>
            </w:r>
          </w:p>
        </w:tc>
      </w:tr>
      <w:tr>
        <w:trPr>
          <w:cantSplit/>
        </w:trPr>
        <w:tc>
          <w:tcPr>
            <w:tcW w:type="dxa" w:w="792"/>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P3</w:t>
            </w:r>
          </w:p>
        </w:tc>
        <w:tc>
          <w:tcPr>
            <w:tcW w:type="dxa" w:w="103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OPEN-009</w:t>
            </w:r>
          </w:p>
        </w:tc>
        <w:tc>
          <w:tcPr>
            <w:tcW w:type="dxa" w:w="4392"/>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¿Quién recibe los avisos de inactividad, prescripción, documentos faltantes y errores de procesamiento? ¿Por qué canal y con qué frecuencia se agrupan?</w:t>
            </w:r>
          </w:p>
        </w:tc>
        <w:tc>
          <w:tcPr>
            <w:tcW w:type="dxa" w:w="273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Matriz de alertas por rol y canal.</w:t>
            </w:r>
          </w:p>
        </w:tc>
        <w:tc>
          <w:tcPr>
            <w:tcW w:type="dxa" w:w="1195"/>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Operación</w:t>
            </w:r>
          </w:p>
        </w:tc>
      </w:tr>
      <w:tr>
        <w:trPr>
          <w:cantSplit/>
        </w:trPr>
        <w:tc>
          <w:tcPr>
            <w:tcW w:type="dxa" w:w="792"/>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P3</w:t>
            </w:r>
          </w:p>
        </w:tc>
        <w:tc>
          <w:tcPr>
            <w:tcW w:type="dxa" w:w="103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OPEN-010</w:t>
            </w:r>
          </w:p>
        </w:tc>
        <w:tc>
          <w:tcPr>
            <w:tcW w:type="dxa" w:w="4392"/>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¿Cuál es el archivo Excel histórico definitivo para la memoria inicial? Confirmar versión, 39 hojas, columnas obligatorias, registros válidos, responsable de entrega y fecha de congelamiento.</w:t>
            </w:r>
          </w:p>
        </w:tc>
        <w:tc>
          <w:tcPr>
            <w:tcW w:type="dxa" w:w="273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Archivo oficial + diccionario de columnas + total esperado.</w:t>
            </w:r>
          </w:p>
        </w:tc>
        <w:tc>
          <w:tcPr>
            <w:tcW w:type="dxa" w:w="1195"/>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Memoria</w:t>
            </w:r>
          </w:p>
        </w:tc>
      </w:tr>
      <w:tr>
        <w:trPr>
          <w:cantSplit/>
        </w:trPr>
        <w:tc>
          <w:tcPr>
            <w:tcW w:type="dxa" w:w="792"/>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P3</w:t>
            </w:r>
          </w:p>
        </w:tc>
        <w:tc>
          <w:tcPr>
            <w:tcW w:type="dxa" w:w="103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OPEN-011</w:t>
            </w:r>
          </w:p>
        </w:tc>
        <w:tc>
          <w:tcPr>
            <w:tcW w:type="dxa" w:w="4392"/>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¿Cuál es el corpus documental cerrado para probar clasificación, OCR y extracción? Confirmar formatos, muestras por documento, umbral mínimo de precisión y tratamiento de archivos ilegibles.</w:t>
            </w:r>
          </w:p>
        </w:tc>
        <w:tc>
          <w:tcPr>
            <w:tcW w:type="dxa" w:w="273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Corpus de prueba + criterios de precisión por campo.</w:t>
            </w:r>
          </w:p>
        </w:tc>
        <w:tc>
          <w:tcPr>
            <w:tcW w:type="dxa" w:w="1195"/>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4"/>
              </w:rPr>
              <w:t>Automatización</w:t>
            </w:r>
          </w:p>
        </w:tc>
      </w:tr>
    </w:tbl>
    <w:p>
      <w:pPr>
        <w:spacing w:after="20"/>
      </w:pPr>
    </w:p>
    <w:p>
      <w:r>
        <w:br w:type="page"/>
      </w:r>
    </w:p>
    <w:p>
      <w:pPr>
        <w:pStyle w:val="Heading1"/>
      </w:pPr>
      <w:r>
        <w:t>3. Decisiones de alcance a ratificar</w:t>
      </w:r>
    </w:p>
    <w:tbl>
      <w:tblPr>
        <w:tblW w:type="auto" w:w="0"/>
        <w:tblLayout w:type="fixed"/>
        <w:tblLook w:firstColumn="1" w:firstRow="1" w:lastColumn="0" w:lastRow="0" w:noHBand="0" w:noVBand="1" w:val="04A0"/>
      </w:tblPr>
      <w:tblGrid>
        <w:gridCol w:w="3389"/>
        <w:gridCol w:w="3389"/>
        <w:gridCol w:w="3389"/>
      </w:tblGrid>
      <w:tr>
        <w:trPr>
          <w:tblHeader w:val="true"/>
          <w:cantSplit/>
        </w:trPr>
        <w:tc>
          <w:tcPr>
            <w:tcW w:type="dxa" w:w="1800"/>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6"/>
              </w:rPr>
              <w:t>Tema</w:t>
            </w:r>
          </w:p>
        </w:tc>
        <w:tc>
          <w:tcPr>
            <w:tcW w:type="dxa" w:w="4176"/>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6"/>
              </w:rPr>
              <w:t>Decisión aplicada en el demo</w:t>
            </w:r>
          </w:p>
        </w:tc>
        <w:tc>
          <w:tcPr>
            <w:tcW w:type="dxa" w:w="4176"/>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6"/>
              </w:rPr>
              <w:t>Confirmación requerida</w:t>
            </w:r>
          </w:p>
        </w:tc>
      </w:tr>
      <w:tr>
        <w:trPr>
          <w:cantSplit/>
        </w:trPr>
        <w:tc>
          <w:tcPr>
            <w:tcW w:type="dxa" w:w="1800"/>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Fuente de entrada</w:t>
            </w:r>
          </w:p>
        </w:tc>
        <w:tc>
          <w:tcPr>
            <w:tcW w:type="dxa" w:w="417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La Fase 1 comienza con una carpeta documental ya descargada. No incluye API de naviera, robot, correo entrante ni escritura en sistemas externos.</w:t>
            </w:r>
          </w:p>
        </w:tc>
        <w:tc>
          <w:tcPr>
            <w:tcW w:type="dxa" w:w="417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¿Se confirma como línea base contractual? ¿Qué integración, si alguna, debe priorizarse como evolución?</w:t>
            </w:r>
          </w:p>
        </w:tc>
      </w:tr>
      <w:tr>
        <w:trPr>
          <w:cantSplit/>
        </w:trPr>
        <w:tc>
          <w:tcPr>
            <w:tcW w:type="dxa" w:w="1800"/>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Memoria histórica</w:t>
            </w:r>
          </w:p>
        </w:tc>
        <w:tc>
          <w:tcPr>
            <w:tcW w:type="dxa" w:w="417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La carga inicial se incorpora como memoria precargada: 4.240 registros reconocidos en 39 hojas, separados de los casos activos futuros.</w:t>
            </w:r>
          </w:p>
        </w:tc>
        <w:tc>
          <w:tcPr>
            <w:tcW w:type="dxa" w:w="417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¿Se congela esta versión como fuente inicial? ¿Se requiere además una migración futura de aproximadamente 1.000 casos activos?</w:t>
            </w:r>
          </w:p>
        </w:tc>
      </w:tr>
      <w:tr>
        <w:trPr>
          <w:cantSplit/>
        </w:trPr>
        <w:tc>
          <w:tcPr>
            <w:tcW w:type="dxa" w:w="1800"/>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Plantillas</w:t>
            </w:r>
          </w:p>
        </w:tc>
        <w:tc>
          <w:tcPr>
            <w:tcW w:type="dxa" w:w="417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El demo contempla cuatro documentos base parametrizados: AoR, Harvest, LoA y Claim Notice.</w:t>
            </w:r>
          </w:p>
        </w:tc>
        <w:tc>
          <w:tcPr>
            <w:tcW w:type="dxa" w:w="417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¿Se confirma que SUBRO y certificados de destrucción quedan fuera de Fase 1? ¿SUBRO podrá ingresar como documento recibido aunque no se genere?</w:t>
            </w:r>
          </w:p>
        </w:tc>
      </w:tr>
      <w:tr>
        <w:trPr>
          <w:cantSplit/>
        </w:trPr>
        <w:tc>
          <w:tcPr>
            <w:tcW w:type="dxa" w:w="1800"/>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Inspector y JSI</w:t>
            </w:r>
          </w:p>
        </w:tc>
        <w:tc>
          <w:tcPr>
            <w:tcW w:type="dxa" w:w="417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El rol Inspector, su acceso restringido, asignación y Carta JSI se mantienen como evolución posterior.</w:t>
            </w:r>
          </w:p>
        </w:tc>
        <w:tc>
          <w:tcPr>
            <w:tcW w:type="dxa" w:w="417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¿Se confirma que no son parte de la aceptación contractual de esta versión?</w:t>
            </w:r>
          </w:p>
        </w:tc>
      </w:tr>
      <w:tr>
        <w:trPr>
          <w:cantSplit/>
        </w:trPr>
        <w:tc>
          <w:tcPr>
            <w:tcW w:type="dxa" w:w="1800"/>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Migración avanzada</w:t>
            </w:r>
          </w:p>
        </w:tc>
        <w:tc>
          <w:tcPr>
            <w:tcW w:type="dxa" w:w="417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No se expone como compromiso de línea base la reimportación, homologación automática, deduplicación o rollback de nuevas planillas.</w:t>
            </w:r>
          </w:p>
        </w:tc>
        <w:tc>
          <w:tcPr>
            <w:tcW w:type="dxa" w:w="417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¿Qué proceso futuro debe existir para actualizaciones históricas sin alterar la memoria original?</w:t>
            </w:r>
          </w:p>
        </w:tc>
      </w:tr>
      <w:tr>
        <w:trPr>
          <w:cantSplit/>
        </w:trPr>
        <w:tc>
          <w:tcPr>
            <w:tcW w:type="dxa" w:w="1800"/>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Nomenclatura</w:t>
            </w:r>
          </w:p>
        </w:tc>
        <w:tc>
          <w:tcPr>
            <w:tcW w:type="dxa" w:w="417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La interfaz usa FIS, Lawgistic y Claim Notice como términos canónicos.</w:t>
            </w:r>
          </w:p>
        </w:tc>
        <w:tc>
          <w:tcPr>
            <w:tcW w:type="dxa" w:w="417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¿Se confirma el uso oficial de Lawgistic y Claim Notice en pantallas, reportes y documentos?</w:t>
            </w:r>
          </w:p>
        </w:tc>
      </w:tr>
    </w:tbl>
    <w:p>
      <w:pPr>
        <w:spacing w:after="20"/>
      </w:pPr>
    </w:p>
    <w:p>
      <w:pPr>
        <w:pStyle w:val="Heading1"/>
      </w:pPr>
      <w:r>
        <w:t>4. Información y artefactos que necesitamos</w:t>
      </w:r>
    </w:p>
    <w:p>
      <w:pPr>
        <w:pStyle w:val="ListBullet"/>
        <w:spacing w:after="60"/>
      </w:pPr>
      <w:r>
        <w:t>Archivo Excel histórico definitivo, con versión, fecha, responsable y total de registros esperado.</w:t>
      </w:r>
    </w:p>
    <w:p>
      <w:pPr>
        <w:pStyle w:val="ListBullet"/>
        <w:spacing w:after="60"/>
      </w:pPr>
      <w:r>
        <w:t>Diccionario de datos: definición de cada columna, campos obligatorios, formatos de fechas, monedas y valores permitidos.</w:t>
      </w:r>
    </w:p>
    <w:p>
      <w:pPr>
        <w:pStyle w:val="ListBullet"/>
        <w:spacing w:after="60"/>
      </w:pPr>
      <w:r>
        <w:t>Fórmulas de cálculo aprobadas con casos de ejemplo, incluyendo un caso por método y casos con datos faltantes.</w:t>
      </w:r>
    </w:p>
    <w:p>
      <w:pPr>
        <w:pStyle w:val="ListBullet"/>
        <w:spacing w:after="60"/>
      </w:pPr>
      <w:r>
        <w:t>Matriz de prescripción por jurisdicción y modo de transporte, incluyendo extensiones y excepciones.</w:t>
      </w:r>
    </w:p>
    <w:p>
      <w:pPr>
        <w:pStyle w:val="ListBullet"/>
        <w:spacing w:after="60"/>
      </w:pPr>
      <w:r>
        <w:t>Cuatro plantillas oficiales: AoR, Harvest, LoA y Claim Notice, con textos legales, campos, logos, firmas y control de versión.</w:t>
      </w:r>
    </w:p>
    <w:p>
      <w:pPr>
        <w:pStyle w:val="ListBullet"/>
        <w:spacing w:after="60"/>
      </w:pPr>
      <w:r>
        <w:t>Checklist de cierre y reglas de traspaso a FIS y Lawgistic.</w:t>
      </w:r>
    </w:p>
    <w:p>
      <w:pPr>
        <w:pStyle w:val="ListBullet"/>
        <w:spacing w:after="60"/>
      </w:pPr>
      <w:r>
        <w:t>Corpus documental representativo para clasificación, OCR y extracción, con resultado esperado por documento.</w:t>
      </w:r>
    </w:p>
    <w:p>
      <w:pPr>
        <w:pStyle w:val="ListBullet"/>
        <w:spacing w:after="60"/>
      </w:pPr>
      <w:r>
        <w:t>Matriz de perfiles productivos: quién crea, revisa, aprueba, administra plantillas, administra parámetros y consulta memoria.</w:t>
      </w:r>
    </w:p>
    <w:p>
      <w:pPr>
        <w:pStyle w:val="ListBullet"/>
        <w:spacing w:after="60"/>
      </w:pPr>
      <w:r>
        <w:t>Criterios de seguridad y operación: autenticación, almacenamiento, respaldo, retención, auditoría, ambientes y responsables.</w:t>
      </w:r>
    </w:p>
    <w:p>
      <w:pPr>
        <w:pStyle w:val="Heading1"/>
      </w:pPr>
      <w:r>
        <w:t>5. Preguntas operativas para la salida a producción</w:t>
      </w:r>
    </w:p>
    <w:tbl>
      <w:tblPr>
        <w:tblW w:type="auto" w:w="0"/>
        <w:tblLayout w:type="fixed"/>
        <w:tblLook w:firstColumn="1" w:firstRow="1" w:lastColumn="0" w:lastRow="0" w:noHBand="0" w:noVBand="1" w:val="04A0"/>
      </w:tblPr>
      <w:tblGrid>
        <w:gridCol w:w="3389"/>
        <w:gridCol w:w="3389"/>
        <w:gridCol w:w="3389"/>
      </w:tblGrid>
      <w:tr>
        <w:trPr>
          <w:tblHeader w:val="true"/>
          <w:cantSplit/>
        </w:trPr>
        <w:tc>
          <w:tcPr>
            <w:tcW w:type="dxa" w:w="1655"/>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6"/>
              </w:rPr>
              <w:t>Área</w:t>
            </w:r>
          </w:p>
        </w:tc>
        <w:tc>
          <w:tcPr>
            <w:tcW w:type="dxa" w:w="5400"/>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6"/>
              </w:rPr>
              <w:t>Pregunta</w:t>
            </w:r>
          </w:p>
        </w:tc>
        <w:tc>
          <w:tcPr>
            <w:tcW w:type="dxa" w:w="3096"/>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6"/>
              </w:rPr>
              <w:t>Entregable esperado</w:t>
            </w:r>
          </w:p>
        </w:tc>
      </w:tr>
      <w:tr>
        <w:trPr>
          <w:cantSplit/>
        </w:trPr>
        <w:tc>
          <w:tcPr>
            <w:tcW w:type="dxa" w:w="1655"/>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Usuarios y acceso</w:t>
            </w:r>
          </w:p>
        </w:tc>
        <w:tc>
          <w:tcPr>
            <w:tcW w:type="dxa" w:w="5400"/>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¿Qué mecanismo de autenticación utilizará la solución? ¿Quién crea, bloquea y modifica usuarios?</w:t>
            </w:r>
          </w:p>
        </w:tc>
        <w:tc>
          <w:tcPr>
            <w:tcW w:type="dxa" w:w="309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Matriz de roles, flujo de alta/baja y responsable.</w:t>
            </w:r>
          </w:p>
        </w:tc>
      </w:tr>
      <w:tr>
        <w:trPr>
          <w:cantSplit/>
        </w:trPr>
        <w:tc>
          <w:tcPr>
            <w:tcW w:type="dxa" w:w="1655"/>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Datos y seguridad</w:t>
            </w:r>
          </w:p>
        </w:tc>
        <w:tc>
          <w:tcPr>
            <w:tcW w:type="dxa" w:w="5400"/>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¿Dónde se almacenarán expedientes y documentos? ¿Qué retención, respaldo, eliminación y trazabilidad exige FIS?</w:t>
            </w:r>
          </w:p>
        </w:tc>
        <w:tc>
          <w:tcPr>
            <w:tcW w:type="dxa" w:w="309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Política operativa y técnica aprobada.</w:t>
            </w:r>
          </w:p>
        </w:tc>
      </w:tr>
      <w:tr>
        <w:trPr>
          <w:cantSplit/>
        </w:trPr>
        <w:tc>
          <w:tcPr>
            <w:tcW w:type="dxa" w:w="1655"/>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Parámetros</w:t>
            </w:r>
          </w:p>
        </w:tc>
        <w:tc>
          <w:tcPr>
            <w:tcW w:type="dxa" w:w="5400"/>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¿Quién administrará fórmulas, monedas, tipos de cambio, jurisdicciones, plantillas y catálogos?</w:t>
            </w:r>
          </w:p>
        </w:tc>
        <w:tc>
          <w:tcPr>
            <w:tcW w:type="dxa" w:w="309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Rol administrador y segregación de funciones.</w:t>
            </w:r>
          </w:p>
        </w:tc>
      </w:tr>
      <w:tr>
        <w:trPr>
          <w:cantSplit/>
        </w:trPr>
        <w:tc>
          <w:tcPr>
            <w:tcW w:type="dxa" w:w="1655"/>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UAT</w:t>
            </w:r>
          </w:p>
        </w:tc>
        <w:tc>
          <w:tcPr>
            <w:tcW w:type="dxa" w:w="5400"/>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¿Quiénes serán los usuarios de prueba y cuál es el criterio de aprobación por flujo?</w:t>
            </w:r>
          </w:p>
        </w:tc>
        <w:tc>
          <w:tcPr>
            <w:tcW w:type="dxa" w:w="309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Plan UAT, casos, responsables y firma de aceptación.</w:t>
            </w:r>
          </w:p>
        </w:tc>
      </w:tr>
      <w:tr>
        <w:trPr>
          <w:cantSplit/>
        </w:trPr>
        <w:tc>
          <w:tcPr>
            <w:tcW w:type="dxa" w:w="1655"/>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Soporte</w:t>
            </w:r>
          </w:p>
        </w:tc>
        <w:tc>
          <w:tcPr>
            <w:tcW w:type="dxa" w:w="5400"/>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¿Qué canal y tiempos de respuesta se esperan para incidencias del sistema durante la operación?</w:t>
            </w:r>
          </w:p>
        </w:tc>
        <w:tc>
          <w:tcPr>
            <w:tcW w:type="dxa" w:w="309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6"/>
              </w:rPr>
              <w:t>Matriz de soporte y escalamiento.</w:t>
            </w:r>
          </w:p>
        </w:tc>
      </w:tr>
    </w:tbl>
    <w:p>
      <w:pPr>
        <w:spacing w:after="20"/>
      </w:pPr>
    </w:p>
    <w:p>
      <w:pPr>
        <w:pStyle w:val="Heading1"/>
      </w:pPr>
      <w:r>
        <w:t>6. Registro de decisiones</w:t>
      </w:r>
    </w:p>
    <w:p>
      <w:r>
        <w:t>Se recomienda completar esta tabla durante la reunión y conservarla junto con la versión aprobada de la especificación.</w:t>
      </w:r>
    </w:p>
    <w:tbl>
      <w:tblPr>
        <w:tblW w:type="auto" w:w="0"/>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800"/>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5"/>
              </w:rPr>
              <w:t>Tema</w:t>
            </w:r>
          </w:p>
        </w:tc>
        <w:tc>
          <w:tcPr>
            <w:tcW w:type="dxa" w:w="2376"/>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5"/>
              </w:rPr>
              <w:t>Decisión FIS</w:t>
            </w:r>
          </w:p>
        </w:tc>
        <w:tc>
          <w:tcPr>
            <w:tcW w:type="dxa" w:w="1440"/>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5"/>
              </w:rPr>
              <w:t>Responsable</w:t>
            </w:r>
          </w:p>
        </w:tc>
        <w:tc>
          <w:tcPr>
            <w:tcW w:type="dxa" w:w="1007"/>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5"/>
              </w:rPr>
              <w:t>Fecha</w:t>
            </w:r>
          </w:p>
        </w:tc>
        <w:tc>
          <w:tcPr>
            <w:tcW w:type="dxa" w:w="2232"/>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5"/>
              </w:rPr>
              <w:t>Evidencia / versión</w:t>
            </w:r>
          </w:p>
        </w:tc>
        <w:tc>
          <w:tcPr>
            <w:tcW w:type="dxa" w:w="1296"/>
            <w:shd w:fill="1F365B"/>
            <w:tcMar>
              <w:top w:w="100" w:type="dxa"/>
              <w:start w:w="110" w:type="dxa"/>
              <w:bottom w:w="100" w:type="dxa"/>
              <w:end w:w="110" w:type="dxa"/>
            </w:tcMar>
            <w:vAlign w:val="cente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40" w:lineRule="auto"/>
            </w:pPr>
            <w:r>
              <w:rPr>
                <w:rFonts w:ascii="Arial" w:hAnsi="Arial"/>
                <w:b/>
                <w:color w:val="FFFFFF"/>
                <w:sz w:val="15"/>
              </w:rPr>
              <w:t>Estado</w:t>
            </w:r>
          </w:p>
        </w:tc>
      </w:tr>
      <w:tr>
        <w:trPr>
          <w:cantSplit/>
        </w:trPr>
        <w:tc>
          <w:tcPr>
            <w:tcW w:type="dxa" w:w="1800"/>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t>Fórmulas</w:t>
            </w:r>
          </w:p>
        </w:tc>
        <w:tc>
          <w:tcPr>
            <w:tcW w:type="dxa" w:w="237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440"/>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007"/>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2232"/>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29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t>Pendiente</w:t>
            </w:r>
          </w:p>
        </w:tc>
      </w:tr>
      <w:tr>
        <w:trPr>
          <w:cantSplit/>
        </w:trPr>
        <w:tc>
          <w:tcPr>
            <w:tcW w:type="dxa" w:w="1800"/>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t>Referencia</w:t>
            </w:r>
          </w:p>
        </w:tc>
        <w:tc>
          <w:tcPr>
            <w:tcW w:type="dxa" w:w="237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440"/>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007"/>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2232"/>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29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t>Pendiente</w:t>
            </w:r>
          </w:p>
        </w:tc>
      </w:tr>
      <w:tr>
        <w:trPr>
          <w:cantSplit/>
        </w:trPr>
        <w:tc>
          <w:tcPr>
            <w:tcW w:type="dxa" w:w="1800"/>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t>Prescripción</w:t>
            </w:r>
          </w:p>
        </w:tc>
        <w:tc>
          <w:tcPr>
            <w:tcW w:type="dxa" w:w="237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440"/>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007"/>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2232"/>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29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t>Pendiente</w:t>
            </w:r>
          </w:p>
        </w:tc>
      </w:tr>
      <w:tr>
        <w:trPr>
          <w:cantSplit/>
        </w:trPr>
        <w:tc>
          <w:tcPr>
            <w:tcW w:type="dxa" w:w="1800"/>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t>Cartas</w:t>
            </w:r>
          </w:p>
        </w:tc>
        <w:tc>
          <w:tcPr>
            <w:tcW w:type="dxa" w:w="237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440"/>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007"/>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2232"/>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29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t>Pendiente</w:t>
            </w:r>
          </w:p>
        </w:tc>
      </w:tr>
      <w:tr>
        <w:trPr>
          <w:cantSplit/>
        </w:trPr>
        <w:tc>
          <w:tcPr>
            <w:tcW w:type="dxa" w:w="1800"/>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t>Checklist y traspaso</w:t>
            </w:r>
          </w:p>
        </w:tc>
        <w:tc>
          <w:tcPr>
            <w:tcW w:type="dxa" w:w="237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440"/>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007"/>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2232"/>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29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t>Pendiente</w:t>
            </w:r>
          </w:p>
        </w:tc>
      </w:tr>
      <w:tr>
        <w:trPr>
          <w:cantSplit/>
        </w:trPr>
        <w:tc>
          <w:tcPr>
            <w:tcW w:type="dxa" w:w="1800"/>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t>Alertas e inactividad</w:t>
            </w:r>
          </w:p>
        </w:tc>
        <w:tc>
          <w:tcPr>
            <w:tcW w:type="dxa" w:w="237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440"/>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007"/>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2232"/>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296"/>
            <w:shd w:fill="FFFFFF"/>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t>Pendiente</w:t>
            </w:r>
          </w:p>
        </w:tc>
      </w:tr>
      <w:tr>
        <w:trPr>
          <w:cantSplit/>
        </w:trPr>
        <w:tc>
          <w:tcPr>
            <w:tcW w:type="dxa" w:w="1800"/>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t>Memoria y corpus</w:t>
            </w:r>
          </w:p>
        </w:tc>
        <w:tc>
          <w:tcPr>
            <w:tcW w:type="dxa" w:w="237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440"/>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007"/>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2232"/>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r>
          </w:p>
        </w:tc>
        <w:tc>
          <w:tcPr>
            <w:tcW w:type="dxa" w:w="1296"/>
            <w:shd w:fill="EEF4FB"/>
            <w:tcMar>
              <w:top w:w="100" w:type="dxa"/>
              <w:start w:w="110" w:type="dxa"/>
              <w:bottom w:w="100" w:type="dxa"/>
              <w:end w:w="110" w:type="dxa"/>
            </w:tcMar>
            <w:vAlign w:val="top"/>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tcPr>
          <w:p>
            <w:pPr>
              <w:spacing w:after="0" w:line="252" w:lineRule="auto"/>
            </w:pPr>
            <w:r>
              <w:rPr>
                <w:rFonts w:ascii="Arial" w:hAnsi="Arial"/>
                <w:color w:val="1E2C43"/>
                <w:sz w:val="15"/>
              </w:rPr>
              <w:t>Pendiente</w:t>
            </w:r>
          </w:p>
        </w:tc>
      </w:tr>
    </w:tbl>
    <w:p>
      <w:pPr>
        <w:spacing w:after="20"/>
      </w:pPr>
    </w:p>
    <w:p>
      <w:pPr>
        <w:pStyle w:val="Heading1"/>
      </w:pPr>
      <w:r>
        <w:t>7. Criterio de cierre</w:t>
      </w:r>
    </w:p>
    <w:p>
      <w:r>
        <w:t>El cierre funcional se considera listo cuando FIS haya respondido las preguntas prioritarias, entregado los artefactos comprometidos y aprobado ejemplos que permitan reproducir los resultados. Hasta ese momento, el demo debe presentarse como una demostración funcional avanzada y no como una aprobación definitiva de producción.</w:t>
      </w:r>
    </w:p>
    <w:p>
      <w:r>
        <w:rPr>
          <w:b/>
        </w:rPr>
        <w:t>Próximo paso recomendado:</w:t>
      </w:r>
      <w:r>
        <w:t xml:space="preserve"> realizar una sesión de decisión de 60 a 90 minutos con foco en OPEN-001 a OPEN-005 y dejar las respuestas registradas en este documento.</w:t>
      </w:r>
    </w:p>
    <w:sectPr w:rsidR="00FC693F" w:rsidRPr="0006063C" w:rsidSect="00034616">
      <w:headerReference w:type="default" r:id="rId9"/>
      <w:footerReference w:type="default" r:id="rId10"/>
      <w:pgSz w:w="12240" w:h="15840"/>
      <w:pgMar w:top="965" w:right="1037" w:bottom="893"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07391"/>
        <w:sz w:val="16"/>
      </w:rPr>
      <w:t>Documento de trabajo · Revisión funcional · 17 septiembre 2026</w:t>
    </w:r>
  </w:p>
  <w:p>
    <w:pPr>
      <w:jc w:val="right"/>
    </w:pPr>
    <w:r>
      <w:rPr>
        <w:color w:val="607391"/>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893"/>
      <w:gridCol w:w="9259"/>
    </w:tblGrid>
    <w:tr>
      <w:tc>
        <w:tcPr>
          <w:tcW w:type="dxa" w:w="507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0" w:type="dxa"/>
            <w:start w:w="0" w:type="dxa"/>
            <w:bottom w:w="0" w:type="dxa"/>
            <w:end w:w="0" w:type="dxa"/>
          </w:tcMar>
          <w:vAlign w:val="center"/>
        </w:tcPr>
        <w:p>
          <w:pPr>
            <w:jc w:val="left"/>
          </w:pPr>
          <w:r>
            <w:drawing>
              <wp:inline xmlns:a="http://schemas.openxmlformats.org/drawingml/2006/main" xmlns:pic="http://schemas.openxmlformats.org/drawingml/2006/picture">
                <wp:extent cx="384048" cy="373487"/>
                <wp:docPr id="1" name="Picture 1"/>
                <wp:cNvGraphicFramePr>
                  <a:graphicFrameLocks noChangeAspect="1"/>
                </wp:cNvGraphicFramePr>
                <a:graphic>
                  <a:graphicData uri="http://schemas.openxmlformats.org/drawingml/2006/picture">
                    <pic:pic>
                      <pic:nvPicPr>
                        <pic:cNvPr id="0" name="fis-logo.jpeg"/>
                        <pic:cNvPicPr/>
                      </pic:nvPicPr>
                      <pic:blipFill>
                        <a:blip r:embed="rId1"/>
                        <a:stretch>
                          <a:fillRect/>
                        </a:stretch>
                      </pic:blipFill>
                      <pic:spPr>
                        <a:xfrm>
                          <a:off x="0" y="0"/>
                          <a:ext cx="384048" cy="373487"/>
                        </a:xfrm>
                        <a:prstGeom prst="rect"/>
                      </pic:spPr>
                    </pic:pic>
                  </a:graphicData>
                </a:graphic>
              </wp:inline>
            </w:drawing>
          </w:r>
        </w:p>
      </w:tc>
      <w:tc>
        <w:tcPr>
          <w:tcW w:type="dxa" w:w="507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0" w:type="dxa"/>
            <w:start w:w="0" w:type="dxa"/>
            <w:bottom w:w="0" w:type="dxa"/>
            <w:end w:w="0" w:type="dxa"/>
          </w:tcMar>
          <w:vAlign w:val="center"/>
        </w:tcPr>
        <w:p>
          <w:pPr>
            <w:jc w:val="right"/>
          </w:pPr>
          <w:r>
            <w:rPr>
              <w:b/>
              <w:color w:val="1F365B"/>
              <w:sz w:val="17"/>
            </w:rPr>
            <w:t>INTERVENT PRECLAIM  ·  FIS CHILE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E2C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E2C43"/>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E2C43"/>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E2C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rial" w:hAnsi="Arial"/>
      <w:b/>
      <w:color w:val="1E2C4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E2C4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E2C4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