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Preguntas para cierre funcional con FIS</w:t>
      </w:r>
    </w:p>
    <w:p>
      <w:pPr>
        <w:spacing w:after="180"/>
      </w:pPr>
      <w:r>
        <w:rPr>
          <w:rFonts w:ascii="Arial" w:hAnsi="Arial"/>
          <w:b/>
          <w:color w:val="147C82"/>
          <w:sz w:val="24"/>
        </w:rPr>
        <w:t>Definiciones requeridas para aprobar el alcance, la UAT y la salida a producción</w:t>
      </w:r>
    </w:p>
    <w:p>
      <w:pPr>
        <w:spacing w:after="20"/>
      </w:pPr>
      <w:r>
        <w:rPr>
          <w:rFonts w:ascii="Arial" w:hAnsi="Arial"/>
          <w:color w:val="1E2C43"/>
        </w:rPr>
        <w:t>Estado: Versión revisada según acuerdos de esta revisión</w:t>
      </w:r>
    </w:p>
    <w:p>
      <w:pPr>
        <w:spacing w:after="20"/>
      </w:pPr>
      <w:r>
        <w:rPr>
          <w:b/>
          <w:color w:val="607391"/>
          <w:sz w:val="18"/>
        </w:rPr>
        <w:t xml:space="preserve">Fecha: </w:t>
      </w:r>
      <w:r>
        <w:rPr>
          <w:color w:val="607391"/>
          <w:sz w:val="18"/>
        </w:rPr>
        <w:t>17 septiembre 2026</w:t>
      </w:r>
    </w:p>
    <w:p>
      <w:pPr>
        <w:spacing w:after="20"/>
      </w:pPr>
      <w:r>
        <w:rPr>
          <w:b/>
          <w:color w:val="607391"/>
          <w:sz w:val="18"/>
        </w:rPr>
        <w:t xml:space="preserve">Objetivo: </w:t>
      </w:r>
      <w:r>
        <w:rPr>
          <w:color w:val="607391"/>
          <w:sz w:val="18"/>
        </w:rPr>
        <w:t>Cerrar reglas, datos, plantillas y criterios que todavía no están definidos de forma inequívoca</w:t>
      </w:r>
    </w:p>
    <w:p>
      <w:pPr>
        <w:spacing w:after="20"/>
      </w:pPr>
    </w:p>
    <w:p>
      <w:r>
        <w:rPr>
          <w:rFonts w:ascii="Arial" w:hAnsi="Arial"/>
          <w:color w:val="1E2C43"/>
        </w:rPr>
        <w:t>Este documento reúne las preguntas que FIS debe responder para transformar el demo en una especificación aprobada. Cada respuesta debería indicar una regla final, un responsable y una fecha de vigencia. El Excel histórico y el corpus documental ya entregados por FIS no se solicitan nuevamente.</w:t>
      </w:r>
    </w:p>
    <w:p>
      <w:pPr>
        <w:pStyle w:val="Heading1"/>
      </w:pPr>
      <w:r>
        <w:t>1. Cómo usar este documento</w:t>
      </w:r>
    </w:p>
    <w:p>
      <w:pPr>
        <w:pStyle w:val="ListBullet"/>
        <w:spacing w:after="60"/>
      </w:pPr>
      <w:r>
        <w:t>Responder cada pregunta con una decisión concreta. Evitar respuestas del tipo depende sin indicar la condición que determina el resultado.</w:t>
      </w:r>
    </w:p>
    <w:p>
      <w:pPr>
        <w:pStyle w:val="ListBullet"/>
        <w:spacing w:after="60"/>
      </w:pPr>
      <w:r>
        <w:t>Adjuntar ejemplos aprobados para fórmulas, referencias y cartas; esos ejemplos serán la base de la UAT.</w:t>
      </w:r>
    </w:p>
    <w:p>
      <w:pPr>
        <w:pStyle w:val="ListBullet"/>
        <w:spacing w:after="60"/>
      </w:pPr>
      <w:r>
        <w:t>Marcar cada tema como Contractual, Evolución o No aplica para separar la línea base de futuras mejoras.</w:t>
      </w:r>
    </w:p>
    <w:p>
      <w:pPr>
        <w:pStyle w:val="ListBullet"/>
        <w:spacing w:after="60"/>
      </w:pPr>
      <w:r>
        <w:t>Identificar dueño de la decisión y fecha de aprobación para mantener una única versión de la verdad.</w:t>
      </w:r>
    </w:p>
    <w:p>
      <w:r>
        <w:rPr>
          <w:b/>
        </w:rPr>
        <w:t>Orden sugerido:</w:t>
      </w:r>
      <w:r>
        <w:t xml:space="preserve"> primero cálculos, referencia, prescripción y cartas; luego checklist, traspaso, inactividad y alertas; finalmente memoria, corpus documental y condiciones operativas.</w:t>
      </w:r>
    </w:p>
    <w:p>
      <w:pPr>
        <w:pStyle w:val="Heading1"/>
      </w:pPr>
      <w:r>
        <w:t>2. Preguntas prioritarias</w:t>
      </w:r>
    </w:p>
    <w:p>
      <w:r>
        <w:t>Estas son las definiciones que pueden cambiar el resultado del sistema o impedir una aceptación objetiva.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79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103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439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Pregunta para FIS</w:t>
            </w:r>
          </w:p>
        </w:tc>
        <w:tc>
          <w:tcPr>
            <w:tcW w:type="dxa" w:w="273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Respuesta o entregable esperado</w:t>
            </w:r>
          </w:p>
        </w:tc>
        <w:tc>
          <w:tcPr>
            <w:tcW w:type="dxa" w:w="1195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Impacto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P0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OPEN-001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¿Cuál es la fórmula oficial de cada método de cálculo de pérdida? Confirmar base bruta o neta, costos incluidos/excluidos, unidades, topes, mínimos, tipo de cambio, redondeo y tratamiento de datos faltantes.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Documento de fórmulas + al menos 3 casos resueltos y aprobados.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Cálculo y UAT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P1</w:t>
            </w:r>
          </w:p>
        </w:tc>
        <w:tc>
          <w:tcPr>
            <w:tcW w:type="dxa" w:w="10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OPEN-002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¿Cuál es la estructura oficial de la referencia? Confirmar prefijos, año, mes, operador, correlativo, separadores, cambios permitidos, fuente de verdad y regla de duplicidad.</w:t>
            </w:r>
          </w:p>
        </w:tc>
        <w:tc>
          <w:tcPr>
            <w:tcW w:type="dxa" w:w="27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Ejemplos válidos, inválidos, duplicados y modificados.</w:t>
            </w:r>
          </w:p>
        </w:tc>
        <w:tc>
          <w:tcPr>
            <w:tcW w:type="dxa" w:w="119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Identidad del caso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P1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OPEN-003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¿Qué matriz de prescripción debe aplicar por jurisdicción y modo? Confirmar base de cómputo, descarga real o ETA, plazo, extensiones, feriados, excepciones y responsable de actualización.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Matriz jurídica versionada y aprobada.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Alertas y cierre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P1</w:t>
            </w:r>
          </w:p>
        </w:tc>
        <w:tc>
          <w:tcPr>
            <w:tcW w:type="dxa" w:w="10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OPEN-004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¿Claim Notice y Carta de notificación a la naviera son el mismo documento o dos documentos distintos? Si son distintos, ¿qué uso y destinatario tiene cada uno?</w:t>
            </w:r>
          </w:p>
        </w:tc>
        <w:tc>
          <w:tcPr>
            <w:tcW w:type="dxa" w:w="27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Definición de catálogo y nombre oficial.</w:t>
            </w:r>
          </w:p>
        </w:tc>
        <w:tc>
          <w:tcPr>
            <w:tcW w:type="dxa" w:w="119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Inventario y cartas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P1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OPEN-005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¿Cuáles son los textos legales, campos obligatorios, idioma, formato, membrete, firma y reglas de versión para AoR, Harvest, LoA y Claim Notice?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Cuatro templates oficiales editables y un ejemplo aprobado por tipo.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Generación documental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P2</w:t>
            </w:r>
          </w:p>
        </w:tc>
        <w:tc>
          <w:tcPr>
            <w:tcW w:type="dxa" w:w="10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OPEN-006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¿Cuál es el checklist de cierre por tipo de caso? Indicar documentos obligatorios, documentos que pueden ser N/A, evidencias mínimas y quién puede confirmar cada punto.</w:t>
            </w:r>
          </w:p>
        </w:tc>
        <w:tc>
          <w:tcPr>
            <w:tcW w:type="dxa" w:w="27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Checklist oficial por caso y criterios de excepción.</w:t>
            </w:r>
          </w:p>
        </w:tc>
        <w:tc>
          <w:tcPr>
            <w:tcW w:type="dxa" w:w="119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Traspaso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P2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OPEN-007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¿Qué condiciones exactas habilitan el traspaso a FIS para recupero extrajudicial y a Lawgistic para recupero judicial? ¿Qué estado debe quedar y quién puede revertirlo?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Matriz de estados, guardas, destino y reversa.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Workflow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P2</w:t>
            </w:r>
          </w:p>
        </w:tc>
        <w:tc>
          <w:tcPr>
            <w:tcW w:type="dxa" w:w="10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OPEN-008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¿Qué evento reinicia el contador de inactividad? Confirmar si son días calendario o hábiles, umbral, estados excluidos, horario de corte y qué actividades cuentan como movimiento.</w:t>
            </w:r>
          </w:p>
        </w:tc>
        <w:tc>
          <w:tcPr>
            <w:tcW w:type="dxa" w:w="27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Regla de inactividad con ejemplos de fechas.</w:t>
            </w:r>
          </w:p>
        </w:tc>
        <w:tc>
          <w:tcPr>
            <w:tcW w:type="dxa" w:w="119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Alertas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P3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OPEN-009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¿Quién recibe los avisos de inactividad, prescripción, documentos faltantes y errores de procesamiento? ¿Por qué canal y con qué frecuencia se agrupan?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Matriz de alertas por rol y canal.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Operación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P3</w:t>
            </w:r>
          </w:p>
        </w:tc>
        <w:tc>
          <w:tcPr>
            <w:tcW w:type="dxa" w:w="10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OPEN-010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color w:val="1E2C43"/>
                <w:sz w:val="14"/>
              </w:rPr>
              <w:t>¿Confirmamos que la memoria histórica inicial del sistema se basa en el archivo Excel ya entregado por FIS, compuesto por 39 hojas y aproximadamente 4.240 registros? En caso de correcciones futuras, ¿deben gestionarse como una nueva versión, conservando la memoria original y sin requerir carga manual en el demo?</w:t>
            </w:r>
          </w:p>
        </w:tc>
        <w:tc>
          <w:tcPr>
            <w:tcW w:type="dxa" w:w="27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color w:val="1E2C43"/>
                <w:sz w:val="14"/>
              </w:rPr>
              <w:t>Confirmación de fuente histórica y regla de versionado.</w:t>
            </w:r>
          </w:p>
        </w:tc>
        <w:tc>
          <w:tcPr>
            <w:tcW w:type="dxa" w:w="119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Memoria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P3</w:t>
            </w:r>
          </w:p>
        </w:tc>
        <w:tc>
          <w:tcPr>
            <w:tcW w:type="dxa" w:w="10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OPEN-011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color w:val="1E2C43"/>
                <w:sz w:val="14"/>
              </w:rPr>
              <w:t>¿Confirmamos que los documentos actualmente entregados por FIS serán el corpus de validación del sistema? Los documentos ilegibles, incompletos o ambiguos pasarán a revisión humana.</w:t>
            </w:r>
          </w:p>
        </w:tc>
        <w:tc>
          <w:tcPr>
            <w:tcW w:type="dxa" w:w="273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color w:val="1E2C43"/>
                <w:sz w:val="14"/>
              </w:rPr>
              <w:t>Confirmación del corpus actual y regla de revisión humana.</w:t>
            </w:r>
          </w:p>
        </w:tc>
        <w:tc>
          <w:tcPr>
            <w:tcW w:type="dxa" w:w="119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4"/>
              </w:rPr>
              <w:t>Automatización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Decisiones de alcance a ratificar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417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Decisión aplicada en el demo</w:t>
            </w:r>
          </w:p>
        </w:tc>
        <w:tc>
          <w:tcPr>
            <w:tcW w:type="dxa" w:w="417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Confirmación requerida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Fuente de entrada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La Fase 1 comienza con una carpeta documental ya descargada. No incluye API de naviera, robot, correo entrante ni escritura en sistemas externos.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¿Se confirma como línea base contractual? ¿Qué integración, si alguna, debe priorizarse como evolución?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Memoria histórica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La carga inicial se incorpora como memoria precargada: 4.240 registros reconocidos en 39 hojas, separados de los casos activos futuros.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¿Se congela esta versión como fuente inicial? ¿Se requiere además una migración futura de aproximadamente 1.000 casos activos?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Plantillas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El demo contempla cuatro documentos base parametrizados: AoR, Harvest, LoA y Claim Notice.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¿Se confirma que SUBRO y certificados de destrucción quedan fuera de Fase 1? ¿SUBRO podrá ingresar como documento recibido aunque no se genere?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Inspector y JSI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El rol Inspector, su acceso restringido, asignación y Carta JSI se mantienen como evolución posterior.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¿Se confirma que no son parte de la aceptación contractual de esta versión?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Migración avanzada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No se expone como compromiso de línea base la reimportación, homologación automática, deduplicación o rollback de nuevas planillas.</w:t>
            </w:r>
          </w:p>
        </w:tc>
        <w:tc>
          <w:tcPr>
            <w:tcW w:type="dxa" w:w="41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¿Qué proceso futuro debe existir para actualizaciones históricas sin alterar la memoria original?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Nomenclatura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La interfaz usa FIS, Lawgistic y Claim Notice como términos canónicos.</w:t>
            </w:r>
          </w:p>
        </w:tc>
        <w:tc>
          <w:tcPr>
            <w:tcW w:type="dxa" w:w="41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¿Se confirma el uso oficial de Lawgistic y Claim Notice en pantallas, reportes y documentos?</w:t>
            </w:r>
          </w:p>
        </w:tc>
      </w:tr>
    </w:tbl>
    <w:p>
      <w:pPr>
        <w:spacing w:after="20"/>
      </w:pPr>
    </w:p>
    <w:p>
      <w:pPr>
        <w:pStyle w:val="Heading1"/>
      </w:pPr>
      <w:r>
        <w:t>4. Información y artefactos que necesitamos</w:t>
      </w:r>
    </w:p>
    <w:p>
      <w:pPr>
        <w:pStyle w:val="ListBullet"/>
        <w:spacing w:after="60"/>
      </w:pPr>
      <w:r>
        <w:rPr>
          <w:rFonts w:ascii="Arial" w:hAnsi="Arial"/>
          <w:color w:val="1E2C43"/>
        </w:rPr>
        <w:t>Confirmación de que la memoria histórica inicial se basa en el archivo Excel ya entregado por FIS, con versión y fecha de referencia.</w:t>
      </w:r>
    </w:p>
    <w:p>
      <w:pPr>
        <w:pStyle w:val="ListBullet"/>
        <w:spacing w:after="60"/>
      </w:pPr>
      <w:r>
        <w:t>Diccionario de datos: definición de cada columna, campos obligatorios, formatos de fechas, monedas y valores permitidos.</w:t>
      </w:r>
    </w:p>
    <w:p>
      <w:pPr>
        <w:pStyle w:val="ListBullet"/>
        <w:spacing w:after="60"/>
      </w:pPr>
      <w:r>
        <w:t>Fórmulas de cálculo aprobadas con casos de ejemplo, incluyendo un caso por método y casos con datos faltantes.</w:t>
      </w:r>
    </w:p>
    <w:p>
      <w:pPr>
        <w:pStyle w:val="ListBullet"/>
        <w:spacing w:after="60"/>
      </w:pPr>
      <w:r>
        <w:t>Matriz de prescripción por jurisdicción y modo de transporte, incluyendo extensiones y excepciones.</w:t>
      </w:r>
    </w:p>
    <w:p>
      <w:pPr>
        <w:pStyle w:val="ListBullet"/>
        <w:spacing w:after="60"/>
      </w:pPr>
      <w:r>
        <w:t>Cuatro plantillas oficiales: AoR, Harvest, LoA y Claim Notice, con textos legales, campos, logos, firmas y control de versión.</w:t>
      </w:r>
    </w:p>
    <w:p>
      <w:pPr>
        <w:pStyle w:val="ListBullet"/>
        <w:spacing w:after="60"/>
      </w:pPr>
      <w:r>
        <w:t>Checklist de cierre y reglas de traspaso a FIS y Lawgistic.</w:t>
      </w:r>
    </w:p>
    <w:p>
      <w:pPr>
        <w:pStyle w:val="ListBullet"/>
        <w:spacing w:after="60"/>
      </w:pPr>
      <w:r>
        <w:rPr>
          <w:rFonts w:ascii="Arial" w:hAnsi="Arial"/>
          <w:color w:val="1E2C43"/>
        </w:rPr>
        <w:t>Confirmación de que los documentos actualmente entregados por FIS conforman el corpus de validación; los casos ilegibles, incompletos o ambiguos pasan a revisión humana.</w:t>
      </w:r>
    </w:p>
    <w:p>
      <w:pPr>
        <w:pStyle w:val="ListBullet"/>
        <w:spacing w:after="60"/>
      </w:pPr>
      <w:r>
        <w:t>Matriz de perfiles productivos: quién crea, revisa, aprueba, administra plantillas, administra parámetros y consulta memoria.</w:t>
      </w:r>
    </w:p>
    <w:p>
      <w:pPr>
        <w:pStyle w:val="ListBullet"/>
        <w:spacing w:after="60"/>
      </w:pPr>
      <w:r>
        <w:t>Criterios de seguridad y operación: autenticación, almacenamiento, respaldo, retención, auditoría, ambientes y responsables.</w:t>
      </w:r>
    </w:p>
    <w:p>
      <w:pPr>
        <w:pStyle w:val="Heading1"/>
      </w:pPr>
      <w:r>
        <w:t>5. Preguntas operativas para la salida a producción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400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309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Entregable esperado</w:t>
            </w:r>
          </w:p>
        </w:tc>
      </w:tr>
      <w:tr>
        <w:trPr>
          <w:cantSplit/>
        </w:trPr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Usuarios y acceso</w:t>
            </w:r>
          </w:p>
        </w:tc>
        <w:tc>
          <w:tcPr>
            <w:tcW w:type="dxa" w:w="54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¿Qué mecanismo de autenticación utilizará la solución? ¿Quién crea, bloquea y modifica usuarios?</w:t>
            </w:r>
          </w:p>
        </w:tc>
        <w:tc>
          <w:tcPr>
            <w:tcW w:type="dxa" w:w="30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Matriz de roles, flujo de alta/baja y responsable.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Datos y seguridad</w:t>
            </w:r>
          </w:p>
        </w:tc>
        <w:tc>
          <w:tcPr>
            <w:tcW w:type="dxa" w:w="54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¿Dónde se almacenarán expedientes y documentos? ¿Qué retención, respaldo, eliminación y trazabilidad exige FIS?</w:t>
            </w:r>
          </w:p>
        </w:tc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Política operativa y técnica aprobada.</w:t>
            </w:r>
          </w:p>
        </w:tc>
      </w:tr>
      <w:tr>
        <w:trPr>
          <w:cantSplit/>
        </w:trPr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Parámetros</w:t>
            </w:r>
          </w:p>
        </w:tc>
        <w:tc>
          <w:tcPr>
            <w:tcW w:type="dxa" w:w="54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¿Quién administrará fórmulas, monedas, tipos de cambio, jurisdicciones, plantillas y catálogos?</w:t>
            </w:r>
          </w:p>
        </w:tc>
        <w:tc>
          <w:tcPr>
            <w:tcW w:type="dxa" w:w="30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Rol administrador y segregación de funciones.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UAT</w:t>
            </w:r>
          </w:p>
        </w:tc>
        <w:tc>
          <w:tcPr>
            <w:tcW w:type="dxa" w:w="54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¿Quiénes serán los usuarios de prueba y cuál es el criterio de aprobación por flujo?</w:t>
            </w:r>
          </w:p>
        </w:tc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Plan UAT, casos, responsables y firma de aceptación.</w:t>
            </w:r>
          </w:p>
        </w:tc>
      </w:tr>
      <w:tr>
        <w:trPr>
          <w:cantSplit/>
        </w:trPr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Soporte</w:t>
            </w:r>
          </w:p>
        </w:tc>
        <w:tc>
          <w:tcPr>
            <w:tcW w:type="dxa" w:w="54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¿Qué canal y tiempos de respuesta se esperan para incidencias del sistema durante la operación?</w:t>
            </w:r>
          </w:p>
        </w:tc>
        <w:tc>
          <w:tcPr>
            <w:tcW w:type="dxa" w:w="30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Matriz de soporte y escalamiento.</w:t>
            </w:r>
          </w:p>
        </w:tc>
      </w:tr>
    </w:tbl>
    <w:p>
      <w:pPr>
        <w:spacing w:after="20"/>
      </w:pPr>
    </w:p>
    <w:p>
      <w:pPr>
        <w:pStyle w:val="Heading1"/>
      </w:pPr>
      <w:r>
        <w:t>6. Registro de decisiones</w:t>
      </w:r>
    </w:p>
    <w:p>
      <w:r>
        <w:t>Se recomienda completar esta tabla durante la reunión y conservarla junto con la versión aprobada de la especificación.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800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237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Decisión FIS</w:t>
            </w:r>
          </w:p>
        </w:tc>
        <w:tc>
          <w:tcPr>
            <w:tcW w:type="dxa" w:w="1440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007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23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Evidencia / versión</w:t>
            </w:r>
          </w:p>
        </w:tc>
        <w:tc>
          <w:tcPr>
            <w:tcW w:type="dxa" w:w="129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Fórmulas</w:t>
            </w:r>
          </w:p>
        </w:tc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Referencia</w:t>
            </w:r>
          </w:p>
        </w:tc>
        <w:tc>
          <w:tcPr>
            <w:tcW w:type="dxa" w:w="23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Prescripción</w:t>
            </w:r>
          </w:p>
        </w:tc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Cartas</w:t>
            </w:r>
          </w:p>
        </w:tc>
        <w:tc>
          <w:tcPr>
            <w:tcW w:type="dxa" w:w="23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Checklist y traspaso</w:t>
            </w:r>
          </w:p>
        </w:tc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Alertas e inactividad</w:t>
            </w:r>
          </w:p>
        </w:tc>
        <w:tc>
          <w:tcPr>
            <w:tcW w:type="dxa" w:w="23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80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Memoria y corpus</w:t>
            </w:r>
          </w:p>
        </w:tc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44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00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</w:r>
          </w:p>
        </w:tc>
        <w:tc>
          <w:tcPr>
            <w:tcW w:type="dxa" w:w="129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Pendiente</w:t>
            </w:r>
          </w:p>
        </w:tc>
      </w:tr>
    </w:tbl>
    <w:p>
      <w:pPr>
        <w:spacing w:after="20"/>
      </w:pPr>
    </w:p>
    <w:p>
      <w:pPr>
        <w:pStyle w:val="Heading1"/>
      </w:pPr>
      <w:r>
        <w:t>7. Criterio de cierre</w:t>
      </w:r>
    </w:p>
    <w:p>
      <w:r>
        <w:t>El cierre funcional se considera listo cuando FIS haya respondido las preguntas prioritarias, entregado los artefactos comprometidos y aprobado ejemplos que permitan reproducir los resultados. Hasta ese momento, el demo debe presentarse como una demostración funcional avanzada y no como una aprobación definitiva de producción.</w:t>
      </w:r>
    </w:p>
    <w:p>
      <w:r>
        <w:rPr>
          <w:b/>
        </w:rPr>
        <w:t>Próximo paso recomendado:</w:t>
      </w:r>
      <w:r>
        <w:t xml:space="preserve"> realizar una sesión de decisión de 60 a 90 minutos con foco en OPEN-001 a OPEN-005 y dejar las respuestas registradas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07391"/>
        <w:sz w:val="16"/>
      </w:rPr>
      <w:t>Documento de trabajo · Revisión funcional · 17 septiembre 2026</w:t>
    </w:r>
  </w:p>
  <w:p>
    <w:pPr>
      <w:jc w:val="right"/>
    </w:pPr>
    <w:r>
      <w:rPr>
        <w:color w:val="607391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93"/>
      <w:gridCol w:w="9259"/>
    </w:tblGrid>
    <w:tr>
      <w:tc>
        <w:tcPr>
          <w:tcW w:type="dxa" w:w="5076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84048" cy="3734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is-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734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b/>
              <w:color w:val="1F365B"/>
              <w:sz w:val="17"/>
            </w:rPr>
            <w:t>INTERVENT PRECLAIM  ·  FIS CHILE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C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2C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2C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E2C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2C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E2C4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E2C4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