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Revisión completa del demo Intervent Preclaim</w:t>
      </w:r>
    </w:p>
    <w:p>
      <w:pPr>
        <w:spacing w:after="180"/>
      </w:pPr>
      <w:r>
        <w:rPr>
          <w:rFonts w:ascii="Arial" w:hAnsi="Arial"/>
          <w:b/>
          <w:color w:val="147C82"/>
          <w:sz w:val="24"/>
        </w:rPr>
        <w:t>Cambios realizados, cobertura funcional y decisiones de alcance</w:t>
      </w:r>
    </w:p>
    <w:p>
      <w:pPr>
        <w:spacing w:after="20"/>
      </w:pPr>
      <w:r>
        <w:rPr>
          <w:b/>
          <w:color w:val="607391"/>
          <w:sz w:val="18"/>
        </w:rPr>
        <w:t xml:space="preserve">Estado: </w:t>
      </w:r>
      <w:r>
        <w:rPr>
          <w:color w:val="607391"/>
          <w:sz w:val="18"/>
        </w:rPr>
        <w:t>Documento de trabajo para revisión con FIS</w:t>
      </w:r>
    </w:p>
    <w:p>
      <w:pPr>
        <w:spacing w:after="20"/>
      </w:pPr>
      <w:r>
        <w:rPr>
          <w:b/>
          <w:color w:val="607391"/>
          <w:sz w:val="18"/>
        </w:rPr>
        <w:t xml:space="preserve">Fecha: </w:t>
      </w:r>
      <w:r>
        <w:rPr>
          <w:color w:val="607391"/>
          <w:sz w:val="18"/>
        </w:rPr>
        <w:t>17 septiembre 2026</w:t>
      </w:r>
    </w:p>
    <w:p>
      <w:pPr>
        <w:spacing w:after="20"/>
      </w:pPr>
      <w:r>
        <w:rPr>
          <w:b/>
          <w:color w:val="607391"/>
          <w:sz w:val="18"/>
        </w:rPr>
        <w:t xml:space="preserve">Base: </w:t>
      </w:r>
      <w:r>
        <w:rPr>
          <w:color w:val="607391"/>
          <w:sz w:val="18"/>
        </w:rPr>
        <w:t>Contrato NPR FIS Chile v6.0 firmado, reuniones operativas y QA funcional de Sauvalle</w:t>
      </w:r>
    </w:p>
    <w:p>
      <w:pPr>
        <w:spacing w:after="20"/>
      </w:pPr>
    </w:p>
    <w:p>
      <w:r>
        <w:t>Este documento consolida el estado actual del demo funcional de Preclaim. La revisión se realizó contra el alcance contractual de la Fase 1, el detalle de las reuniones y el resultado de QA entregado por Sauvalle. El demo cubre el flujo principal a nivel demostrativo, pero todavía requiere definiciones formales de FIS para convertirse en una línea base de aceptación y producción.</w:t>
      </w:r>
    </w:p>
    <w:p>
      <w:pPr>
        <w:pStyle w:val="Heading1"/>
      </w:pPr>
      <w:r>
        <w:t>1. Conclusión ejecutiva</w:t>
      </w:r>
    </w:p>
    <w:p>
      <w:r>
        <w:t>El producto ya permite recorrer el flujo de un caso desde la recepción de una carpeta documental hasta su preparación para revisión y eventual derivación. Las decisiones automáticas se muestran como propuestas editables y las acciones sensibles quedan sujetas a confirmación humana.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376"/>
            <w:shd w:fill="1F365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Tema</w:t>
            </w:r>
          </w:p>
        </w:tc>
        <w:tc>
          <w:tcPr>
            <w:tcW w:type="dxa" w:w="1944"/>
            <w:shd w:fill="1F365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Estado</w:t>
            </w:r>
          </w:p>
        </w:tc>
        <w:tc>
          <w:tcPr>
            <w:tcW w:type="dxa" w:w="5832"/>
            <w:shd w:fill="1F365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Lectura ejecutiva</w:t>
            </w:r>
          </w:p>
        </w:tc>
      </w:tr>
      <w:tr>
        <w:trPr>
          <w:cantSplit/>
        </w:trPr>
        <w:tc>
          <w:tcPr>
            <w:tcW w:type="dxa" w:w="2376"/>
            <w:shd w:fill="EEF4FB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7"/>
              </w:rPr>
              <w:t>Alcance contractual Fase 1</w:t>
            </w:r>
          </w:p>
        </w:tc>
        <w:tc>
          <w:tcPr>
            <w:tcW w:type="dxa" w:w="1944"/>
            <w:shd w:fill="EEF4FB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7"/>
              </w:rPr>
              <w:t>Demostración operativa</w:t>
            </w:r>
          </w:p>
        </w:tc>
        <w:tc>
          <w:tcPr>
            <w:tcW w:type="dxa" w:w="5832"/>
            <w:shd w:fill="EEF4FB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7"/>
              </w:rPr>
              <w:t>Carga de carpeta, expediente, inventario, extracción, análisis, cálculo, cartas base, transferencia local, memoria y trazabilidad.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7"/>
              </w:rPr>
              <w:t>Hallazgos QA funcional</w:t>
            </w:r>
          </w:p>
        </w:tc>
        <w:tc>
          <w:tcPr>
            <w:tcW w:type="dxa" w:w="1944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7"/>
              </w:rPr>
              <w:t>12 puntos revisados</w:t>
            </w:r>
          </w:p>
        </w:tc>
        <w:tc>
          <w:tcPr>
            <w:tcW w:type="dxa" w:w="5832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7"/>
              </w:rPr>
              <w:t>Se corrigieron fórmulas, se explicitó el alcance histórico y se documentaron las decisiones técnicas y los límites del demo.</w:t>
            </w:r>
          </w:p>
        </w:tc>
      </w:tr>
      <w:tr>
        <w:trPr>
          <w:cantSplit/>
        </w:trPr>
        <w:tc>
          <w:tcPr>
            <w:tcW w:type="dxa" w:w="2376"/>
            <w:shd w:fill="EEF4FB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7"/>
              </w:rPr>
              <w:t>Aprobación formal para producción</w:t>
            </w:r>
          </w:p>
        </w:tc>
        <w:tc>
          <w:tcPr>
            <w:tcW w:type="dxa" w:w="1944"/>
            <w:shd w:fill="EEF4FB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7"/>
              </w:rPr>
              <w:t>Pendiente de FIS</w:t>
            </w:r>
          </w:p>
        </w:tc>
        <w:tc>
          <w:tcPr>
            <w:tcW w:type="dxa" w:w="5832"/>
            <w:shd w:fill="EEF4FB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7"/>
              </w:rPr>
              <w:t>Requiere cerrar fórmulas, referencia, prescripción, textos oficiales, checklist, alertas, corpus y criterios de aceptación.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7"/>
              </w:rPr>
              <w:t>Fuera de la línea base</w:t>
            </w:r>
          </w:p>
        </w:tc>
        <w:tc>
          <w:tcPr>
            <w:tcW w:type="dxa" w:w="1944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7"/>
              </w:rPr>
              <w:t>Explicitado</w:t>
            </w:r>
          </w:p>
        </w:tc>
        <w:tc>
          <w:tcPr>
            <w:tcW w:type="dxa" w:w="5832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7"/>
              </w:rPr>
              <w:t>Integraciones API/email/robot, rol Inspector y JSI, generación SUBRO, certificados de destrucción e integraciones posteriores al traspaso.</w:t>
            </w:r>
          </w:p>
        </w:tc>
      </w:tr>
    </w:tbl>
    <w:p>
      <w:pPr>
        <w:spacing w:after="20"/>
      </w:pPr>
    </w:p>
    <w:p>
      <w:r>
        <w:rPr>
          <w:b/>
        </w:rPr>
        <w:t>Lectura recomendada para la reunión:</w:t>
      </w:r>
      <w:r>
        <w:t xml:space="preserve"> el demo está preparado para validar el flujo y la experiencia de uso; la aprobación contractual definitiva depende de respuestas de FIS que se detallan en el documento complementario de preguntas.</w:t>
      </w:r>
    </w:p>
    <w:p>
      <w:pPr>
        <w:pStyle w:val="Heading1"/>
      </w:pPr>
      <w:r>
        <w:t>2. Cambios realizados a partir de QA</w:t>
      </w:r>
    </w:p>
    <w:p>
      <w:r>
        <w:t>La siguiente matriz registra cómo quedó tratado cada hallazgo del QA funcional y qué punto permanece sujeto a confirmación del cliente.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1180"/>
            <w:shd w:fill="1F365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ID</w:t>
            </w:r>
          </w:p>
        </w:tc>
        <w:tc>
          <w:tcPr>
            <w:tcW w:type="dxa" w:w="1627"/>
            <w:shd w:fill="1F365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Tema</w:t>
            </w:r>
          </w:p>
        </w:tc>
        <w:tc>
          <w:tcPr>
            <w:tcW w:type="dxa" w:w="5688"/>
            <w:shd w:fill="1F365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Cambio implementado</w:t>
            </w:r>
          </w:p>
        </w:tc>
        <w:tc>
          <w:tcPr>
            <w:tcW w:type="dxa" w:w="1655"/>
            <w:shd w:fill="1F365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Estado</w:t>
            </w:r>
          </w:p>
        </w:tc>
      </w:tr>
      <w:tr>
        <w:trPr>
          <w:cantSplit/>
        </w:trPr>
        <w:tc>
          <w:tcPr>
            <w:tcW w:type="dxa" w:w="1180"/>
            <w:shd w:fill="EEF4FB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5"/>
              </w:rPr>
              <w:t>QA-FUNC-001</w:t>
            </w:r>
          </w:p>
        </w:tc>
        <w:tc>
          <w:tcPr>
            <w:tcW w:type="dxa" w:w="1627"/>
            <w:shd w:fill="EEF4FB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5"/>
              </w:rPr>
              <w:t>Fórmulas de pérdida</w:t>
            </w:r>
          </w:p>
        </w:tc>
        <w:tc>
          <w:tcPr>
            <w:tcW w:type="dxa" w:w="5688"/>
            <w:shd w:fill="EEF4FB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5"/>
              </w:rPr>
              <w:t>Métodos 1 y 2 trabajan sobre la base bruta aprobada; el método 3 compara venta destino contra valor de factura. Se visualizan fórmulas, variables y justificación editable.</w:t>
            </w:r>
          </w:p>
        </w:tc>
        <w:tc>
          <w:tcPr>
            <w:tcW w:type="dxa" w:w="1655"/>
            <w:shd w:fill="EEF4FB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5"/>
              </w:rPr>
              <w:t>Corregido en demo; ejemplos oficiales pendientes.</w:t>
            </w:r>
          </w:p>
        </w:tc>
      </w:tr>
      <w:tr>
        <w:trPr>
          <w:cantSplit/>
        </w:trPr>
        <w:tc>
          <w:tcPr>
            <w:tcW w:type="dxa" w:w="1180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5"/>
              </w:rPr>
              <w:t>QA-FUNC-002</w:t>
            </w:r>
          </w:p>
        </w:tc>
        <w:tc>
          <w:tcPr>
            <w:tcW w:type="dxa" w:w="1627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5"/>
              </w:rPr>
              <w:t>Migración histórica</w:t>
            </w:r>
          </w:p>
        </w:tc>
        <w:tc>
          <w:tcPr>
            <w:tcW w:type="dxa" w:w="5688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5"/>
              </w:rPr>
              <w:t>La memoria histórica inicial queda precargada y separada del trabajo activo. No se presenta una carga manual como requisito del usuario.</w:t>
            </w:r>
          </w:p>
        </w:tc>
        <w:tc>
          <w:tcPr>
            <w:tcW w:type="dxa" w:w="1655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5"/>
              </w:rPr>
              <w:t>Precargado; reimportación avanzada fuera de línea base.</w:t>
            </w:r>
          </w:p>
        </w:tc>
      </w:tr>
      <w:tr>
        <w:trPr>
          <w:cantSplit/>
        </w:trPr>
        <w:tc>
          <w:tcPr>
            <w:tcW w:type="dxa" w:w="1180"/>
            <w:shd w:fill="EEF4FB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5"/>
              </w:rPr>
              <w:t>QA-FUNC-003</w:t>
            </w:r>
          </w:p>
        </w:tc>
        <w:tc>
          <w:tcPr>
            <w:tcW w:type="dxa" w:w="1627"/>
            <w:shd w:fill="EEF4FB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5"/>
              </w:rPr>
              <w:t>Referencia del caso</w:t>
            </w:r>
          </w:p>
        </w:tc>
        <w:tc>
          <w:tcPr>
            <w:tcW w:type="dxa" w:w="5688"/>
            <w:shd w:fill="EEF4FB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5"/>
              </w:rPr>
              <w:t>La referencia puede editarse, se normaliza para consulta y se advierten duplicidades sin borrar el valor original.</w:t>
            </w:r>
          </w:p>
        </w:tc>
        <w:tc>
          <w:tcPr>
            <w:tcW w:type="dxa" w:w="1655"/>
            <w:shd w:fill="EEF4FB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5"/>
              </w:rPr>
              <w:t>Disponible; convención canónica pendiente.</w:t>
            </w:r>
          </w:p>
        </w:tc>
      </w:tr>
      <w:tr>
        <w:trPr>
          <w:cantSplit/>
        </w:trPr>
        <w:tc>
          <w:tcPr>
            <w:tcW w:type="dxa" w:w="1180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5"/>
              </w:rPr>
              <w:t>QA-FUNC-004</w:t>
            </w:r>
          </w:p>
        </w:tc>
        <w:tc>
          <w:tcPr>
            <w:tcW w:type="dxa" w:w="1627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5"/>
              </w:rPr>
              <w:t>Prescripción</w:t>
            </w:r>
          </w:p>
        </w:tc>
        <w:tc>
          <w:tcPr>
            <w:tcW w:type="dxa" w:w="5688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5"/>
              </w:rPr>
              <w:t>Se muestran La Haya a 1 año y Hamburgo a 2 años desde la descarga real. La ETA se trata como estimación y no como base de cierre.</w:t>
            </w:r>
          </w:p>
        </w:tc>
        <w:tc>
          <w:tcPr>
            <w:tcW w:type="dxa" w:w="1655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5"/>
              </w:rPr>
              <w:t>Regla demostrativa; matriz jurídica FIS pendiente.</w:t>
            </w:r>
          </w:p>
        </w:tc>
      </w:tr>
      <w:tr>
        <w:trPr>
          <w:cantSplit/>
        </w:trPr>
        <w:tc>
          <w:tcPr>
            <w:tcW w:type="dxa" w:w="1180"/>
            <w:shd w:fill="EEF4FB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5"/>
              </w:rPr>
              <w:t>QA-FUNC-005</w:t>
            </w:r>
          </w:p>
        </w:tc>
        <w:tc>
          <w:tcPr>
            <w:tcW w:type="dxa" w:w="1627"/>
            <w:shd w:fill="EEF4FB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5"/>
              </w:rPr>
              <w:t>Cartas</w:t>
            </w:r>
          </w:p>
        </w:tc>
        <w:tc>
          <w:tcPr>
            <w:tcW w:type="dxa" w:w="5688"/>
            <w:shd w:fill="EEF4FB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5"/>
              </w:rPr>
              <w:t>Se mantienen cuatro documentos base: AoR, Harvest, LoA y Claim Notice. Cada uno requiere datos confirmados y aprobación humana antes de copiar, imprimir o descargar.</w:t>
            </w:r>
          </w:p>
        </w:tc>
        <w:tc>
          <w:tcPr>
            <w:tcW w:type="dxa" w:w="1655"/>
            <w:shd w:fill="EEF4FB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5"/>
              </w:rPr>
              <w:t>Disponible; texto, campos y firmas FIS pendientes.</w:t>
            </w:r>
          </w:p>
        </w:tc>
      </w:tr>
      <w:tr>
        <w:trPr>
          <w:cantSplit/>
        </w:trPr>
        <w:tc>
          <w:tcPr>
            <w:tcW w:type="dxa" w:w="1180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5"/>
              </w:rPr>
              <w:t>QA-FUNC-006</w:t>
            </w:r>
          </w:p>
        </w:tc>
        <w:tc>
          <w:tcPr>
            <w:tcW w:type="dxa" w:w="1627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5"/>
              </w:rPr>
              <w:t>Inactividad</w:t>
            </w:r>
          </w:p>
        </w:tc>
        <w:tc>
          <w:tcPr>
            <w:tcW w:type="dxa" w:w="5688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5"/>
              </w:rPr>
              <w:t>Se marca la falta de movimiento sobre 15 días calendario desde el último evento válido de bitácora; se excluyen casos transferidos.</w:t>
            </w:r>
          </w:p>
        </w:tc>
        <w:tc>
          <w:tcPr>
            <w:tcW w:type="dxa" w:w="1655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5"/>
              </w:rPr>
              <w:t>Regla de demo; evento, días y destinatarios pendientes.</w:t>
            </w:r>
          </w:p>
        </w:tc>
      </w:tr>
      <w:tr>
        <w:trPr>
          <w:cantSplit/>
        </w:trPr>
        <w:tc>
          <w:tcPr>
            <w:tcW w:type="dxa" w:w="1180"/>
            <w:shd w:fill="EEF4FB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5"/>
              </w:rPr>
              <w:t>QA-FUNC-007</w:t>
            </w:r>
          </w:p>
        </w:tc>
        <w:tc>
          <w:tcPr>
            <w:tcW w:type="dxa" w:w="1627"/>
            <w:shd w:fill="EEF4FB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5"/>
              </w:rPr>
              <w:t>Traspaso</w:t>
            </w:r>
          </w:p>
        </w:tc>
        <w:tc>
          <w:tcPr>
            <w:tcW w:type="dxa" w:w="5688"/>
            <w:shd w:fill="EEF4FB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5"/>
              </w:rPr>
              <w:t>El cierre exige datos mínimos, documentos, causa, cálculo justificado y fecha de prescripción basada en descarga real. El informe se actualiza antes del traspaso y el gerente puede revertir con motivo.</w:t>
            </w:r>
          </w:p>
        </w:tc>
        <w:tc>
          <w:tcPr>
            <w:tcW w:type="dxa" w:w="1655"/>
            <w:shd w:fill="EEF4FB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5"/>
              </w:rPr>
              <w:t>Disponible; checklist contractual pendiente.</w:t>
            </w:r>
          </w:p>
        </w:tc>
      </w:tr>
      <w:tr>
        <w:trPr>
          <w:cantSplit/>
        </w:trPr>
        <w:tc>
          <w:tcPr>
            <w:tcW w:type="dxa" w:w="1180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5"/>
              </w:rPr>
              <w:t>QA-FUNC-008</w:t>
            </w:r>
          </w:p>
        </w:tc>
        <w:tc>
          <w:tcPr>
            <w:tcW w:type="dxa" w:w="1627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5"/>
              </w:rPr>
              <w:t>Volumen histórico</w:t>
            </w:r>
          </w:p>
        </w:tc>
        <w:tc>
          <w:tcPr>
            <w:tcW w:type="dxa" w:w="5688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5"/>
              </w:rPr>
              <w:t>Se separaron dos universos: 4.240 registros iniciales en 39 hojas y el eventual universo futuro de aproximadamente 1.000 casos activos.</w:t>
            </w:r>
          </w:p>
        </w:tc>
        <w:tc>
          <w:tcPr>
            <w:tcW w:type="dxa" w:w="1655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5"/>
              </w:rPr>
              <w:t>Visible en Memoria; alcance confirmado por contrato.</w:t>
            </w:r>
          </w:p>
        </w:tc>
      </w:tr>
      <w:tr>
        <w:trPr>
          <w:cantSplit/>
        </w:trPr>
        <w:tc>
          <w:tcPr>
            <w:tcW w:type="dxa" w:w="1180"/>
            <w:shd w:fill="EEF4FB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5"/>
              </w:rPr>
              <w:t>QA-FUNC-009</w:t>
            </w:r>
          </w:p>
        </w:tc>
        <w:tc>
          <w:tcPr>
            <w:tcW w:type="dxa" w:w="1627"/>
            <w:shd w:fill="EEF4FB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5"/>
              </w:rPr>
              <w:t>Inspector y JSI</w:t>
            </w:r>
          </w:p>
        </w:tc>
        <w:tc>
          <w:tcPr>
            <w:tcW w:type="dxa" w:w="5688"/>
            <w:shd w:fill="EEF4FB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5"/>
              </w:rPr>
              <w:t>El rol Inspector, su asignación y la Carta JSI no forman parte de la línea base actual. Se conserva el dato de surveyor cuando aparece en el expediente.</w:t>
            </w:r>
          </w:p>
        </w:tc>
        <w:tc>
          <w:tcPr>
            <w:tcW w:type="dxa" w:w="1655"/>
            <w:shd w:fill="EEF4FB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5"/>
              </w:rPr>
              <w:t>Fuera de Fase 1; evolución futura.</w:t>
            </w:r>
          </w:p>
        </w:tc>
      </w:tr>
      <w:tr>
        <w:trPr>
          <w:cantSplit/>
        </w:trPr>
        <w:tc>
          <w:tcPr>
            <w:tcW w:type="dxa" w:w="1180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5"/>
              </w:rPr>
              <w:t>QA-FUNC-010</w:t>
            </w:r>
          </w:p>
        </w:tc>
        <w:tc>
          <w:tcPr>
            <w:tcW w:type="dxa" w:w="1627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5"/>
              </w:rPr>
              <w:t>Origen de información</w:t>
            </w:r>
          </w:p>
        </w:tc>
        <w:tc>
          <w:tcPr>
            <w:tcW w:type="dxa" w:w="5688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5"/>
              </w:rPr>
              <w:t>La Fase 1 parte de una carpeta ya descargada con documentos compatibles. No se simulan integraciones directas con API, correo o robots.</w:t>
            </w:r>
          </w:p>
        </w:tc>
        <w:tc>
          <w:tcPr>
            <w:tcW w:type="dxa" w:w="1655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5"/>
              </w:rPr>
              <w:t>Alineado con alcance; integraciones futuras.</w:t>
            </w:r>
          </w:p>
        </w:tc>
      </w:tr>
      <w:tr>
        <w:trPr>
          <w:cantSplit/>
        </w:trPr>
        <w:tc>
          <w:tcPr>
            <w:tcW w:type="dxa" w:w="1180"/>
            <w:shd w:fill="EEF4FB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5"/>
              </w:rPr>
              <w:t>QA-FUNC-011</w:t>
            </w:r>
          </w:p>
        </w:tc>
        <w:tc>
          <w:tcPr>
            <w:tcW w:type="dxa" w:w="1627"/>
            <w:shd w:fill="EEF4FB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5"/>
              </w:rPr>
              <w:t>Errores por archivo</w:t>
            </w:r>
          </w:p>
        </w:tc>
        <w:tc>
          <w:tcPr>
            <w:tcW w:type="dxa" w:w="5688"/>
            <w:shd w:fill="EEF4FB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5"/>
              </w:rPr>
              <w:t>Cada archivo se procesa de forma aislada, conserva su original y puede quedar como parcial, no compatible u OCR pendiente sin detener el resto del lote.</w:t>
            </w:r>
          </w:p>
        </w:tc>
        <w:tc>
          <w:tcPr>
            <w:tcW w:type="dxa" w:w="1655"/>
            <w:shd w:fill="EEF4FB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5"/>
              </w:rPr>
              <w:t>Decisión técnica interna; visible para revisión.</w:t>
            </w:r>
          </w:p>
        </w:tc>
      </w:tr>
      <w:tr>
        <w:trPr>
          <w:cantSplit/>
        </w:trPr>
        <w:tc>
          <w:tcPr>
            <w:tcW w:type="dxa" w:w="1180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5"/>
              </w:rPr>
              <w:t>QA-FUNC-012</w:t>
            </w:r>
          </w:p>
        </w:tc>
        <w:tc>
          <w:tcPr>
            <w:tcW w:type="dxa" w:w="1627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5"/>
              </w:rPr>
              <w:t>Nomenclatura</w:t>
            </w:r>
          </w:p>
        </w:tc>
        <w:tc>
          <w:tcPr>
            <w:tcW w:type="dxa" w:w="5688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5"/>
              </w:rPr>
              <w:t>La interfaz usa Claim Notice, FIS y Lawgistic como términos oficiales. Los nombres antiguos solo se consideran referencias de migración.</w:t>
            </w:r>
          </w:p>
        </w:tc>
        <w:tc>
          <w:tcPr>
            <w:tcW w:type="dxa" w:w="1655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5"/>
              </w:rPr>
              <w:t>Corregido en demo.</w:t>
            </w:r>
          </w:p>
        </w:tc>
      </w:tr>
    </w:tbl>
    <w:p>
      <w:pPr>
        <w:spacing w:after="20"/>
      </w:pPr>
    </w:p>
    <w:p>
      <w:pPr>
        <w:pStyle w:val="Heading1"/>
      </w:pPr>
      <w:r>
        <w:t>3. Flujo funcional actualmente disponible</w:t>
      </w:r>
    </w:p>
    <w:p>
      <w:pPr>
        <w:pStyle w:val="ListNumber"/>
        <w:spacing w:after="60"/>
      </w:pPr>
      <w:r>
        <w:t>Seleccionar el perfil Handler y crear un caso nuevo.</w:t>
      </w:r>
    </w:p>
    <w:p>
      <w:pPr>
        <w:pStyle w:val="ListNumber"/>
        <w:spacing w:after="60"/>
      </w:pPr>
      <w:r>
        <w:t>Cargar o arrastrar la carpeta documental del caso y conservar el nombre de los archivos originales.</w:t>
      </w:r>
    </w:p>
    <w:p>
      <w:pPr>
        <w:pStyle w:val="ListNumber"/>
        <w:spacing w:after="60"/>
      </w:pPr>
      <w:r>
        <w:t>Identificar la referencia interna y advertir posibles duplicados antes de guardar.</w:t>
      </w:r>
    </w:p>
    <w:p>
      <w:pPr>
        <w:pStyle w:val="ListNumber"/>
        <w:spacing w:after="60"/>
      </w:pPr>
      <w:r>
        <w:t>Procesar los archivos compatibles, clasificar cada documento y proponer un nombre normalizado.</w:t>
      </w:r>
    </w:p>
    <w:p>
      <w:pPr>
        <w:pStyle w:val="ListNumber"/>
        <w:spacing w:after="60"/>
      </w:pPr>
      <w:r>
        <w:t>Revisar y corregir los datos extraídos: asegurado, oponente, nave/viaje, carga, fechas, reclamo, inspector y prescripción.</w:t>
      </w:r>
    </w:p>
    <w:p>
      <w:pPr>
        <w:pStyle w:val="ListNumber"/>
        <w:spacing w:after="60"/>
      </w:pPr>
      <w:r>
        <w:t>Consultar el inventario de documentos disponibles, faltantes y documentos a solicitar.</w:t>
      </w:r>
    </w:p>
    <w:p>
      <w:pPr>
        <w:pStyle w:val="ListNumber"/>
        <w:spacing w:after="60"/>
      </w:pPr>
      <w:r>
        <w:t>Revisar el resumen del caso, tipo de caso, causa potencial y méritos preliminares.</w:t>
      </w:r>
    </w:p>
    <w:p>
      <w:pPr>
        <w:pStyle w:val="ListNumber"/>
        <w:spacing w:after="60"/>
      </w:pPr>
      <w:r>
        <w:t>Ejecutar y comparar los tres métodos de pérdida; seleccionar el criterio aplicable y justificarlo.</w:t>
      </w:r>
    </w:p>
    <w:p>
      <w:pPr>
        <w:pStyle w:val="ListNumber"/>
        <w:spacing w:after="60"/>
      </w:pPr>
      <w:r>
        <w:t>Previsualizar las cuatro cartas base y aprobarlas antes de copiarlas, imprimirlas o descargarlas.</w:t>
      </w:r>
    </w:p>
    <w:p>
      <w:pPr>
        <w:pStyle w:val="ListNumber"/>
        <w:spacing w:after="60"/>
      </w:pPr>
      <w:r>
        <w:t>Completar el informe de revisión, validar la lista de cierre y preparar el traspaso a FIS o Lawgistic.</w:t>
      </w:r>
    </w:p>
    <w:p>
      <w:pPr>
        <w:pStyle w:val="ListNumber"/>
        <w:spacing w:after="60"/>
      </w:pPr>
      <w:r>
        <w:t>Consultar dashboard, benchmark por Handler, alertas de seguimiento y trazabilidad de actividades.</w:t>
      </w:r>
    </w:p>
    <w:p>
      <w:pPr>
        <w:pStyle w:val="ListNumber"/>
        <w:spacing w:after="60"/>
      </w:pPr>
      <w:r>
        <w:t>Consultar Memoria para buscar el historial precargado sin mezclarlo con los casos activos.</w:t>
      </w:r>
    </w:p>
    <w:p>
      <w:r>
        <w:rPr>
          <w:b/>
        </w:rPr>
        <w:t>Regla transversal:</w:t>
      </w:r>
      <w:r>
        <w:t xml:space="preserve"> el sistema puede proponer clasificación, extracción, causa, méritos y cálculo, pero el Handler debe confirmar o modificar el resultado antes de que se considere listo para traspaso.</w:t>
      </w:r>
    </w:p>
    <w:p>
      <w:r>
        <w:br w:type="page"/>
      </w:r>
    </w:p>
    <w:p>
      <w:pPr>
        <w:pStyle w:val="Heading1"/>
      </w:pPr>
      <w:r>
        <w:t>4. Cobertura y limitaciones actuales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944"/>
            <w:shd w:fill="1F365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Área</w:t>
            </w:r>
          </w:p>
        </w:tc>
        <w:tc>
          <w:tcPr>
            <w:tcW w:type="dxa" w:w="3816"/>
            <w:shd w:fill="1F365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Qué permite hoy</w:t>
            </w:r>
          </w:p>
        </w:tc>
        <w:tc>
          <w:tcPr>
            <w:tcW w:type="dxa" w:w="4392"/>
            <w:shd w:fill="1F365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Límite o validación pendiente</w:t>
            </w:r>
          </w:p>
        </w:tc>
      </w:tr>
      <w:tr>
        <w:trPr>
          <w:cantSplit/>
        </w:trPr>
        <w:tc>
          <w:tcPr>
            <w:tcW w:type="dxa" w:w="1944"/>
            <w:shd w:fill="EEF4FB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6"/>
              </w:rPr>
              <w:t>Ingreso documental</w:t>
            </w:r>
          </w:p>
        </w:tc>
        <w:tc>
          <w:tcPr>
            <w:tcW w:type="dxa" w:w="3816"/>
            <w:shd w:fill="EEF4FB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6"/>
              </w:rPr>
              <w:t>Carga/drag and drop de carpeta; formatos PDF, XLSX, XLS y CSV.</w:t>
            </w:r>
          </w:p>
        </w:tc>
        <w:tc>
          <w:tcPr>
            <w:tcW w:type="dxa" w:w="4392"/>
            <w:shd w:fill="EEF4FB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6"/>
              </w:rPr>
              <w:t>En el demo se conserva metadata y estado del procesamiento. La persistencia productiva, almacenamiento seguro y OCR de servidor requieren backend.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6"/>
              </w:rPr>
              <w:t>Identificación y extracción</w:t>
            </w:r>
          </w:p>
        </w:tc>
        <w:tc>
          <w:tcPr>
            <w:tcW w:type="dxa" w:w="3816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6"/>
              </w:rPr>
              <w:t>Clasificación por tipo, renombrado propuesto, datos visibles y corrección humana.</w:t>
            </w:r>
          </w:p>
        </w:tc>
        <w:tc>
          <w:tcPr>
            <w:tcW w:type="dxa" w:w="4392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6"/>
              </w:rPr>
              <w:t>El nivel final de precisión depende del corpus real y de los umbrales que FIS apruebe.</w:t>
            </w:r>
          </w:p>
        </w:tc>
      </w:tr>
      <w:tr>
        <w:trPr>
          <w:cantSplit/>
        </w:trPr>
        <w:tc>
          <w:tcPr>
            <w:tcW w:type="dxa" w:w="1944"/>
            <w:shd w:fill="EEF4FB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6"/>
              </w:rPr>
              <w:t>Expediente e inventario</w:t>
            </w:r>
          </w:p>
        </w:tc>
        <w:tc>
          <w:tcPr>
            <w:tcW w:type="dxa" w:w="3816"/>
            <w:shd w:fill="EEF4FB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6"/>
              </w:rPr>
              <w:t>Documentos disponibles, faltantes, solicitudes y acceso al expediente por caso.</w:t>
            </w:r>
          </w:p>
        </w:tc>
        <w:tc>
          <w:tcPr>
            <w:tcW w:type="dxa" w:w="4392"/>
            <w:shd w:fill="EEF4FB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6"/>
              </w:rPr>
              <w:t>La lista contractual de documentos requeridos y las excepciones N/A deben ser confirmadas por tipo de caso.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6"/>
              </w:rPr>
              <w:t>Cálculo de pérdida</w:t>
            </w:r>
          </w:p>
        </w:tc>
        <w:tc>
          <w:tcPr>
            <w:tcW w:type="dxa" w:w="3816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6"/>
              </w:rPr>
              <w:t>Tres métodos comparables, USD/CLP/EUR, tipo de cambio configurable, fórmulas visibles y justificación del Handler.</w:t>
            </w:r>
          </w:p>
        </w:tc>
        <w:tc>
          <w:tcPr>
            <w:tcW w:type="dxa" w:w="4392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6"/>
              </w:rPr>
              <w:t>Se necesitan reglas oficiales para fecha, fuente, redondeos y tratamiento de conversión para validar aceptación matemática.</w:t>
            </w:r>
          </w:p>
        </w:tc>
      </w:tr>
      <w:tr>
        <w:trPr>
          <w:cantSplit/>
        </w:trPr>
        <w:tc>
          <w:tcPr>
            <w:tcW w:type="dxa" w:w="1944"/>
            <w:shd w:fill="EEF4FB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6"/>
              </w:rPr>
              <w:t>Cartas base</w:t>
            </w:r>
          </w:p>
        </w:tc>
        <w:tc>
          <w:tcPr>
            <w:tcW w:type="dxa" w:w="3816"/>
            <w:shd w:fill="EEF4FB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6"/>
              </w:rPr>
              <w:t>AoR, Harvest, LoA y Claim Notice, con preview y control de aprobación.</w:t>
            </w:r>
          </w:p>
        </w:tc>
        <w:tc>
          <w:tcPr>
            <w:tcW w:type="dxa" w:w="4392"/>
            <w:shd w:fill="EEF4FB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6"/>
              </w:rPr>
              <w:t>El demo usa textos base parametrizados; FIS debe entregar versiones legales, campos obligatorios y firmas.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6"/>
              </w:rPr>
              <w:t>Memoria histórica</w:t>
            </w:r>
          </w:p>
        </w:tc>
        <w:tc>
          <w:tcPr>
            <w:tcW w:type="dxa" w:w="3816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6"/>
              </w:rPr>
              <w:t>4.240 registros precargados, provenientes de 39 hojas, con consulta separada.</w:t>
            </w:r>
          </w:p>
        </w:tc>
        <w:tc>
          <w:tcPr>
            <w:tcW w:type="dxa" w:w="4392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6"/>
              </w:rPr>
              <w:t>No reemplaza una carga continua ni promete homologación, deduplicación o rollback de nuevas planillas.</w:t>
            </w:r>
          </w:p>
        </w:tc>
      </w:tr>
      <w:tr>
        <w:trPr>
          <w:cantSplit/>
        </w:trPr>
        <w:tc>
          <w:tcPr>
            <w:tcW w:type="dxa" w:w="1944"/>
            <w:shd w:fill="EEF4FB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6"/>
              </w:rPr>
              <w:t>Dashboard y exportación</w:t>
            </w:r>
          </w:p>
        </w:tc>
        <w:tc>
          <w:tcPr>
            <w:tcW w:type="dxa" w:w="3816"/>
            <w:shd w:fill="EEF4FB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6"/>
              </w:rPr>
              <w:t>Indicadores de casos, benchmark por Handler, seguimiento y exportación de datos.</w:t>
            </w:r>
          </w:p>
        </w:tc>
        <w:tc>
          <w:tcPr>
            <w:tcW w:type="dxa" w:w="4392"/>
            <w:shd w:fill="EEF4FB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6"/>
              </w:rPr>
              <w:t>Los indicadores operativos y sus destinatarios deben ser acordados para producción.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6"/>
              </w:rPr>
              <w:t>Perfiles</w:t>
            </w:r>
          </w:p>
        </w:tc>
        <w:tc>
          <w:tcPr>
            <w:tcW w:type="dxa" w:w="3816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6"/>
              </w:rPr>
              <w:t>Handler, Gerente y CEO visibles para recorrer el demo.</w:t>
            </w:r>
          </w:p>
        </w:tc>
        <w:tc>
          <w:tcPr>
            <w:tcW w:type="dxa" w:w="4392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6"/>
              </w:rPr>
              <w:t>Se requiere definir autenticación, altas/bajas, permisos reales, auditoría y seguridad del entorno productivo.</w:t>
            </w:r>
          </w:p>
        </w:tc>
      </w:tr>
    </w:tbl>
    <w:p>
      <w:pPr>
        <w:spacing w:after="20"/>
      </w:pPr>
    </w:p>
    <w:p>
      <w:pPr>
        <w:pStyle w:val="Heading1"/>
      </w:pPr>
      <w:r>
        <w:t>5. Decisiones de alcance aplicadas</w:t>
      </w:r>
    </w:p>
    <w:p>
      <w:pPr>
        <w:pStyle w:val="ListBullet"/>
        <w:spacing w:after="60"/>
      </w:pPr>
      <w:r>
        <w:t>La fuente de entrada de la Fase 1 es la carpeta documental ya descargada; quedan fuera API de navieras, robots, correo entrante y escritura en sistemas externos.</w:t>
      </w:r>
    </w:p>
    <w:p>
      <w:pPr>
        <w:pStyle w:val="ListBullet"/>
        <w:spacing w:after="60"/>
      </w:pPr>
      <w:r>
        <w:t>La memoria inicial corresponde a 4.240 registros en 39 hojas. Se mantiene separada del universo futuro de aproximadamente 1.000 casos activos.</w:t>
      </w:r>
    </w:p>
    <w:p>
      <w:pPr>
        <w:pStyle w:val="ListBullet"/>
        <w:spacing w:after="60"/>
      </w:pPr>
      <w:r>
        <w:t>La referencia es editable y auditable para resolver duplicidades o diferencias entre Intervent y Preclaim.</w:t>
      </w:r>
    </w:p>
    <w:p>
      <w:pPr>
        <w:pStyle w:val="ListBullet"/>
        <w:spacing w:after="60"/>
      </w:pPr>
      <w:r>
        <w:t>La prescripción demostrativa usa descarga real como base; la ETA sirve para seguimiento, no para cerrar el caso.</w:t>
      </w:r>
    </w:p>
    <w:p>
      <w:pPr>
        <w:pStyle w:val="ListBullet"/>
        <w:spacing w:after="60"/>
      </w:pPr>
      <w:r>
        <w:t>La línea base considera cuatro cartas: AoR, Harvest, LoA y Claim Notice. SUBRO y certificados de destrucción no se generan en este alcance.</w:t>
      </w:r>
    </w:p>
    <w:p>
      <w:pPr>
        <w:pStyle w:val="ListBullet"/>
        <w:spacing w:after="60"/>
      </w:pPr>
      <w:r>
        <w:t>Inspector, asignación restringida y Carta JSI quedan como evolución posterior, sin eliminar el dato de surveyor del expediente.</w:t>
      </w:r>
    </w:p>
    <w:p>
      <w:pPr>
        <w:pStyle w:val="ListBullet"/>
        <w:spacing w:after="60"/>
      </w:pPr>
      <w:r>
        <w:t>El traspaso es local y demostrativo: FIS para recupero extrajudicial y Lawgistic para recupero judicial, con sus condiciones definitivas aún por aprobar.</w:t>
      </w:r>
    </w:p>
    <w:p>
      <w:pPr>
        <w:pStyle w:val="Heading1"/>
      </w:pPr>
      <w:r>
        <w:t>6. Validación ejecutada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232"/>
            <w:shd w:fill="1F365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Control</w:t>
            </w:r>
          </w:p>
        </w:tc>
        <w:tc>
          <w:tcPr>
            <w:tcW w:type="dxa" w:w="2088"/>
            <w:shd w:fill="1F365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Resultado</w:t>
            </w:r>
          </w:p>
        </w:tc>
        <w:tc>
          <w:tcPr>
            <w:tcW w:type="dxa" w:w="5832"/>
            <w:shd w:fill="1F365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Observación</w:t>
            </w:r>
          </w:p>
        </w:tc>
      </w:tr>
      <w:tr>
        <w:trPr>
          <w:cantSplit/>
        </w:trPr>
        <w:tc>
          <w:tcPr>
            <w:tcW w:type="dxa" w:w="2232"/>
            <w:shd w:fill="EEF4FB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7"/>
              </w:rPr>
              <w:t>Lint</w:t>
            </w:r>
          </w:p>
        </w:tc>
        <w:tc>
          <w:tcPr>
            <w:tcW w:type="dxa" w:w="2088"/>
            <w:shd w:fill="EEF4FB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7"/>
              </w:rPr>
              <w:t>Ejecutado</w:t>
            </w:r>
          </w:p>
        </w:tc>
        <w:tc>
          <w:tcPr>
            <w:tcW w:type="dxa" w:w="5832"/>
            <w:shd w:fill="EEF4FB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7"/>
              </w:rPr>
              <w:t>Sin errores reportados.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7"/>
              </w:rPr>
              <w:t>Build de producción</w:t>
            </w:r>
          </w:p>
        </w:tc>
        <w:tc>
          <w:tcPr>
            <w:tcW w:type="dxa" w:w="2088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7"/>
              </w:rPr>
              <w:t>Ejecutado</w:t>
            </w:r>
          </w:p>
        </w:tc>
        <w:tc>
          <w:tcPr>
            <w:tcW w:type="dxa" w:w="5832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7"/>
              </w:rPr>
              <w:t>Compilación completada correctamente.</w:t>
            </w:r>
          </w:p>
        </w:tc>
      </w:tr>
      <w:tr>
        <w:trPr>
          <w:cantSplit/>
        </w:trPr>
        <w:tc>
          <w:tcPr>
            <w:tcW w:type="dxa" w:w="2232"/>
            <w:shd w:fill="EEF4FB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7"/>
              </w:rPr>
              <w:t>Revisión de cambios</w:t>
            </w:r>
          </w:p>
        </w:tc>
        <w:tc>
          <w:tcPr>
            <w:tcW w:type="dxa" w:w="2088"/>
            <w:shd w:fill="EEF4FB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7"/>
              </w:rPr>
              <w:t>Ejecutado</w:t>
            </w:r>
          </w:p>
        </w:tc>
        <w:tc>
          <w:tcPr>
            <w:tcW w:type="dxa" w:w="5832"/>
            <w:shd w:fill="EEF4FB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7"/>
              </w:rPr>
              <w:t>Sin errores de formato detectados en los archivos revisados.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7"/>
              </w:rPr>
              <w:t>Pruebas automatizadas</w:t>
            </w:r>
          </w:p>
        </w:tc>
        <w:tc>
          <w:tcPr>
            <w:tcW w:type="dxa" w:w="2088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7"/>
              </w:rPr>
              <w:t>No disponible</w:t>
            </w:r>
          </w:p>
        </w:tc>
        <w:tc>
          <w:tcPr>
            <w:tcW w:type="dxa" w:w="5832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7"/>
              </w:rPr>
              <w:t>El proyecto no cuenta con un script npm test configurado.</w:t>
            </w:r>
          </w:p>
        </w:tc>
      </w:tr>
      <w:tr>
        <w:trPr>
          <w:cantSplit/>
        </w:trPr>
        <w:tc>
          <w:tcPr>
            <w:tcW w:type="dxa" w:w="2232"/>
            <w:shd w:fill="EEF4FB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7"/>
              </w:rPr>
              <w:t>Aceptación contractual</w:t>
            </w:r>
          </w:p>
        </w:tc>
        <w:tc>
          <w:tcPr>
            <w:tcW w:type="dxa" w:w="2088"/>
            <w:shd w:fill="EEF4FB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7"/>
              </w:rPr>
              <w:t>Pendiente</w:t>
            </w:r>
          </w:p>
        </w:tc>
        <w:tc>
          <w:tcPr>
            <w:tcW w:type="dxa" w:w="5832"/>
            <w:shd w:fill="EEF4FB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E2C43"/>
                <w:sz w:val="17"/>
              </w:rPr>
              <w:t>Debe realizarse con respuestas, plantillas, ejemplos y criterios oficiales de FIS.</w:t>
            </w:r>
          </w:p>
        </w:tc>
      </w:tr>
    </w:tbl>
    <w:p>
      <w:pPr>
        <w:spacing w:after="20"/>
      </w:pPr>
    </w:p>
    <w:p>
      <w:pPr>
        <w:pStyle w:val="Heading1"/>
      </w:pPr>
      <w:r>
        <w:t>7. Cierre requerido con FIS</w:t>
      </w:r>
    </w:p>
    <w:p>
      <w:r>
        <w:t>Antes de considerar el demo como aprobado para producción, FIS debe validar las definiciones incluidas en el documento Preguntas para cierre funcional con FIS. Las decisiones de mayor impacto son: fórmulas de pérdida, convención de referencia, matriz de prescripción, textos oficiales de cartas, checklist de cierre, reglas de inactividad y corpus documental.</w:t>
      </w:r>
    </w:p>
    <w:p>
      <w:r>
        <w:t>La recomendación es usar este documento para validar la vista general y el documento de preguntas para registrar decisiones puntuales con responsable, fecha y evidencia. Una vez cerrado ese registro, se puede convertir el resultado en criterios de aceptación y plan de pruebas UAT.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5" w:right="1037" w:bottom="893" w:left="1037" w:header="36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/>
        <w:color w:val="607391"/>
        <w:sz w:val="16"/>
      </w:rPr>
      <w:t>Documento de trabajo · Revisión funcional · 17 septiembre 2026</w:t>
    </w:r>
  </w:p>
  <w:p>
    <w:pPr>
      <w:jc w:val="right"/>
    </w:pPr>
    <w:r>
      <w:rPr>
        <w:color w:val="607391"/>
        <w:sz w:val="16"/>
      </w:rPr>
      <w:t xml:space="preserve">Página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893"/>
      <w:gridCol w:w="9259"/>
    </w:tblGrid>
    <w:tr>
      <w:tc>
        <w:tcPr>
          <w:tcW w:type="dxa" w:w="5076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cBorders>
          <w:tcMar>
            <w:top w:w="0" w:type="dxa"/>
            <w:start w:w="0" w:type="dxa"/>
            <w:bottom w:w="0" w:type="dxa"/>
            <w:end w:w="0" w:type="dxa"/>
          </w:tcMar>
          <w:vAlign w:val="center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384048" cy="373487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fis-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4048" cy="373487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076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cBorders>
          <w:tcMar>
            <w:top w:w="0" w:type="dxa"/>
            <w:start w:w="0" w:type="dxa"/>
            <w:bottom w:w="0" w:type="dxa"/>
            <w:end w:w="0" w:type="dxa"/>
          </w:tcMar>
          <w:vAlign w:val="center"/>
        </w:tcPr>
        <w:p>
          <w:pPr>
            <w:jc w:val="right"/>
          </w:pPr>
          <w:r>
            <w:rPr>
              <w:b/>
              <w:color w:val="1F365B"/>
              <w:sz w:val="17"/>
            </w:rPr>
            <w:t>INTERVENT PRECLAIM  ·  FIS CHILE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1E2C4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E2C4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E2C4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E2C4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E2C43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1E2C4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color w:val="1E2C4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