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Reunión de desarrollo Intervent Preclaim</w:t>
      </w:r>
    </w:p>
    <w:p>
      <w:pPr>
        <w:spacing w:after="160"/>
      </w:pPr>
      <w:r>
        <w:rPr>
          <w:rFonts w:ascii="Arial" w:hAnsi="Arial"/>
          <w:b/>
          <w:color w:val="147C82"/>
          <w:sz w:val="24"/>
        </w:rPr>
        <w:t>Qué debe hacer la aplicación y qué deberíamos probar</w:t>
      </w:r>
    </w:p>
    <w:p>
      <w:pPr>
        <w:spacing w:after="20"/>
      </w:pPr>
      <w:r>
        <w:rPr>
          <w:b/>
          <w:color w:val="607391"/>
          <w:sz w:val="18"/>
        </w:rPr>
        <w:t xml:space="preserve">Fecha: </w:t>
      </w:r>
      <w:r>
        <w:rPr>
          <w:color w:val="607391"/>
          <w:sz w:val="18"/>
        </w:rPr>
        <w:t>22 septiembre 2026</w:t>
      </w:r>
    </w:p>
    <w:p>
      <w:pPr>
        <w:spacing w:after="20"/>
      </w:pPr>
      <w:r>
        <w:rPr>
          <w:b/>
          <w:color w:val="607391"/>
          <w:sz w:val="18"/>
        </w:rPr>
        <w:t xml:space="preserve">Participantes: </w:t>
      </w:r>
      <w:r>
        <w:rPr>
          <w:color w:val="607391"/>
          <w:sz w:val="18"/>
        </w:rPr>
        <w:t>Equipo de desarrollo · Milenko · Intervent / FIS</w:t>
      </w:r>
    </w:p>
    <w:p>
      <w:pPr>
        <w:spacing w:after="20"/>
      </w:pPr>
      <w:r>
        <w:rPr>
          <w:b/>
          <w:color w:val="607391"/>
          <w:sz w:val="18"/>
        </w:rPr>
        <w:t xml:space="preserve">Objetivo: </w:t>
      </w:r>
      <w:r>
        <w:rPr>
          <w:color w:val="607391"/>
          <w:sz w:val="18"/>
        </w:rPr>
        <w:t>Alinear alcance, orden de desarrollo y pruebas de aceptación</w:t>
      </w:r>
    </w:p>
    <w:p>
      <w:r>
        <w:t>Este documento sirve como guía de conversación. La meta de la reunión es que desarrollo entienda el flujo completo, pueda separar el demo de la solución productiva y salga con un primer orden de trabajo y una estrategia de pruebas.</w:t>
      </w:r>
    </w:p>
    <w:p>
      <w:pPr>
        <w:pStyle w:val="Heading1"/>
      </w:pPr>
      <w:r>
        <w:t>1. La aplicación en una mirada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232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2592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Procesamiento</w:t>
            </w:r>
          </w:p>
        </w:tc>
        <w:tc>
          <w:tcPr>
            <w:tcW w:type="dxa" w:w="2592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Control humano</w:t>
            </w:r>
          </w:p>
        </w:tc>
        <w:tc>
          <w:tcPr>
            <w:tcW w:type="dxa" w:w="2736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Carpeta documental del caso</w:t>
            </w:r>
          </w:p>
        </w:tc>
        <w:tc>
          <w:tcPr>
            <w:tcW w:type="dxa" w:w="25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Clasificación, extracción y cálculo</w:t>
            </w:r>
          </w:p>
        </w:tc>
        <w:tc>
          <w:tcPr>
            <w:tcW w:type="dxa" w:w="25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Handler revisa, corrige y aprueba</w:t>
            </w:r>
          </w:p>
        </w:tc>
        <w:tc>
          <w:tcPr>
            <w:tcW w:type="dxa" w:w="273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Expediente listo para FIS o Lawgistic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Memoria histórica ya entregada</w:t>
            </w:r>
          </w:p>
        </w:tc>
        <w:tc>
          <w:tcPr>
            <w:tcW w:type="dxa" w:w="25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Consulta separada del trabajo activo</w:t>
            </w:r>
          </w:p>
        </w:tc>
        <w:tc>
          <w:tcPr>
            <w:tcW w:type="dxa" w:w="25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Se conserva fuente y versión</w:t>
            </w:r>
          </w:p>
        </w:tc>
        <w:tc>
          <w:tcPr>
            <w:tcW w:type="dxa" w:w="273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Benchmark, reportes y trazabilidad</w:t>
            </w:r>
          </w:p>
        </w:tc>
      </w:tr>
    </w:tbl>
    <w:p>
      <w:pPr>
        <w:spacing w:after="20"/>
      </w:pPr>
    </w:p>
    <w:p>
      <w:pPr>
        <w:pStyle w:val="Heading1"/>
      </w:pPr>
      <w:r>
        <w:t>2. Flujo que debe poder recorrer un usuario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2376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6983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01</w:t>
            </w:r>
          </w:p>
        </w:tc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Crear o identificar caso</w:t>
            </w:r>
          </w:p>
        </w:tc>
        <w:tc>
          <w:tcPr>
            <w:tcW w:type="dxa" w:w="6983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Referencia editable, aviso de duplicados y Handler responsable.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02</w:t>
            </w:r>
          </w:p>
        </w:tc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Cargar carpeta</w:t>
            </w:r>
          </w:p>
        </w:tc>
        <w:tc>
          <w:tcPr>
            <w:tcW w:type="dxa" w:w="6983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Drag and drop o selección; los archivos originales se conservan.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03</w:t>
            </w:r>
          </w:p>
        </w:tc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Procesar documentos</w:t>
            </w:r>
          </w:p>
        </w:tc>
        <w:tc>
          <w:tcPr>
            <w:tcW w:type="dxa" w:w="6983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Clasificar, renombrar y marcar confianza, error o revisión.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04</w:t>
            </w:r>
          </w:p>
        </w:tc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Revisar expediente</w:t>
            </w:r>
          </w:p>
        </w:tc>
        <w:tc>
          <w:tcPr>
            <w:tcW w:type="dxa" w:w="6983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Disponibles, faltantes, solicitudes y datos extraídos con su fuente.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05</w:t>
            </w:r>
          </w:p>
        </w:tc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Analizar caso</w:t>
            </w:r>
          </w:p>
        </w:tc>
        <w:tc>
          <w:tcPr>
            <w:tcW w:type="dxa" w:w="6983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Resumen, tipo, causa potencial y méritos como propuesta editable.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06</w:t>
            </w:r>
          </w:p>
        </w:tc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Calcular pérdida</w:t>
            </w:r>
          </w:p>
        </w:tc>
        <w:tc>
          <w:tcPr>
            <w:tcW w:type="dxa" w:w="6983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Tres métodos comparables, monedas, tipo de cambio y selección justificada.</w:t>
            </w:r>
          </w:p>
        </w:tc>
      </w:tr>
      <w:tr>
        <w:trPr>
          <w:cantSplit/>
        </w:trPr>
        <w:tc>
          <w:tcPr>
            <w:tcW w:type="dxa" w:w="79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07</w:t>
            </w:r>
          </w:p>
        </w:tc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Generar documentos</w:t>
            </w:r>
          </w:p>
        </w:tc>
        <w:tc>
          <w:tcPr>
            <w:tcW w:type="dxa" w:w="6983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AoR, Harvest, LoA y Claim Notice desde templates versionados.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08</w:t>
            </w:r>
          </w:p>
        </w:tc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Cerrar y traspasar</w:t>
            </w:r>
          </w:p>
        </w:tc>
        <w:tc>
          <w:tcPr>
            <w:tcW w:type="dxa" w:w="6983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Checklist, informe, auditoría y derivación a FIS o Lawgistic.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Qué debe construirse para pasar del demo a producción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776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Qué debe quedar operativo</w:t>
            </w:r>
          </w:p>
        </w:tc>
      </w:tr>
      <w:tr>
        <w:trPr>
          <w:cantSplit/>
        </w:trPr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Plataforma base</w:t>
            </w:r>
          </w:p>
        </w:tc>
        <w:tc>
          <w:tcPr>
            <w:tcW w:type="dxa" w:w="77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Autenticación, roles, usuarios, base de datos, storage seguro, auditoría y ambientes.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Documentos</w:t>
            </w:r>
          </w:p>
        </w:tc>
        <w:tc>
          <w:tcPr>
            <w:tcW w:type="dxa" w:w="77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Procesamiento asíncrono, OCR, clasificación, extracción, confianza, excepciones y descarga.</w:t>
            </w:r>
          </w:p>
        </w:tc>
      </w:tr>
      <w:tr>
        <w:trPr>
          <w:cantSplit/>
        </w:trPr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Cálculos</w:t>
            </w:r>
          </w:p>
        </w:tc>
        <w:tc>
          <w:tcPr>
            <w:tcW w:type="dxa" w:w="77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Mantenedor de fórmulas, tres métodos, USD/CLP/EUR, conversión y snapshot del resultado.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Templates</w:t>
            </w:r>
          </w:p>
        </w:tc>
        <w:tc>
          <w:tcPr>
            <w:tcW w:type="dxa" w:w="77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Versionado, campos, textos legales, firmas, preview, aprobación y salida descargable.</w:t>
            </w:r>
          </w:p>
        </w:tc>
      </w:tr>
      <w:tr>
        <w:trPr>
          <w:cantSplit/>
        </w:trPr>
        <w:tc>
          <w:tcPr>
            <w:tcW w:type="dxa" w:w="23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Workflow</w:t>
            </w:r>
          </w:p>
        </w:tc>
        <w:tc>
          <w:tcPr>
            <w:tcW w:type="dxa" w:w="7776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Estados, checklist, alertas, inactividad, transferencia y reversa controlada.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Memoria y reporting</w:t>
            </w:r>
          </w:p>
        </w:tc>
        <w:tc>
          <w:tcPr>
            <w:tcW w:type="dxa" w:w="7776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7"/>
              </w:rPr>
              <w:t>Histórico precargado, benchmark, agrupación por nave/viaje y exportación Excel.</w:t>
            </w:r>
          </w:p>
        </w:tc>
      </w:tr>
    </w:tbl>
    <w:p>
      <w:pPr>
        <w:spacing w:after="20"/>
      </w:pPr>
    </w:p>
    <w:p>
      <w:pPr>
        <w:pStyle w:val="Heading1"/>
      </w:pPr>
      <w:r>
        <w:t>4. Reglas que no deben quedar hardcodeadas</w:t>
      </w:r>
    </w:p>
    <w:p>
      <w:pPr>
        <w:pStyle w:val="ListBullet"/>
        <w:spacing w:after="40"/>
      </w:pPr>
      <w:r>
        <w:t>Fórmulas y criterios de cálculo.</w:t>
      </w:r>
    </w:p>
    <w:p>
      <w:pPr>
        <w:pStyle w:val="ListBullet"/>
        <w:spacing w:after="40"/>
      </w:pPr>
      <w:r>
        <w:t>Prescripción por jurisdicción y medio de transporte.</w:t>
      </w:r>
    </w:p>
    <w:p>
      <w:pPr>
        <w:pStyle w:val="ListBullet"/>
        <w:spacing w:after="40"/>
      </w:pPr>
      <w:r>
        <w:t>Estructura y validación de referencias.</w:t>
      </w:r>
    </w:p>
    <w:p>
      <w:pPr>
        <w:pStyle w:val="ListBullet"/>
        <w:spacing w:after="40"/>
      </w:pPr>
      <w:r>
        <w:t>Textos, campos, firmas y versiones de templates.</w:t>
      </w:r>
    </w:p>
    <w:p>
      <w:pPr>
        <w:pStyle w:val="ListBullet"/>
        <w:spacing w:after="40"/>
      </w:pPr>
      <w:r>
        <w:t>Checklist de cierre y condiciones de traspaso.</w:t>
      </w:r>
    </w:p>
    <w:p>
      <w:pPr>
        <w:pStyle w:val="ListBullet"/>
        <w:spacing w:after="40"/>
      </w:pPr>
      <w:r>
        <w:t>Umbral de inactividad, destinatarios y canales de alerta.</w:t>
      </w:r>
    </w:p>
    <w:p>
      <w:r>
        <w:rPr>
          <w:b/>
        </w:rPr>
        <w:t>Estas reglas deben poder versionarse</w:t>
      </w:r>
      <w:r>
        <w:t xml:space="preserve"> y modificarse desde mantenedores o configuración administrada. Las respuestas finales de FIS deben poder aplicarse sin reescribir la lógica central.</w:t>
      </w:r>
    </w:p>
    <w:p>
      <w:pPr>
        <w:pStyle w:val="Heading1"/>
      </w:pPr>
      <w:r>
        <w:t>5. Fuera del alcance actual</w:t>
      </w:r>
    </w:p>
    <w:p>
      <w:r>
        <w:t>No incorporar sin aprobación de cambio: integraciones directas con navieras, robots, correo entrante, Inspector y Carta JSI, generación de SUBRO, certificados de destrucción o flujos posteriores al traspaso.</w:t>
      </w:r>
    </w:p>
    <w:p>
      <w:r>
        <w:br w:type="page"/>
      </w:r>
    </w:p>
    <w:p>
      <w:pPr>
        <w:pStyle w:val="Heading1"/>
      </w:pPr>
      <w:r>
        <w:t>6. Qué deberíamos probar</w:t>
      </w:r>
    </w:p>
    <w:p>
      <w:r>
        <w:t>La prueba debe demostrar que el usuario puede completar el flujo sin perder trazabilidad y que el sistema bloquea decisiones sensibles cuando faltan datos o aprobaciones.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7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5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38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410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P0-01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Carga de carpeta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Subir una carpeta con PDFs y planillas.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Todos los archivos quedan registrados; el lote no se pierde.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P0-02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Clasificación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Procesar BL, booking, factura, liquidación, AoR y QC.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Cada documento recibe tipo, nombre propuesto y confianza.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P0-03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Revisión humana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Corregir tipo y datos extraídos.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La corrección se guarda con usuario, fecha y fuente.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P0-04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Cálculo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Ejecutar los tres métodos con USD, CLP y EUR.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Resultados comparables, conversión visible y fórmula identificable.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P0-05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Selección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Elegir un método y justificarlo.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 resultado seleccionado queda guardado y auditable.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P0-06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Templates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Generar AoR, Harvest, LoA y Claim Notice.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 sistema bloquea campos obligatorios faltantes y genera la versión aprobada.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P0-07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Traspaso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Intentar derivar un caso incompleto y uno completo.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 incompleto se bloquea; el completo genera informe y destino.</w:t>
            </w:r>
          </w:p>
        </w:tc>
      </w:tr>
    </w:tbl>
    <w:p>
      <w:pPr>
        <w:spacing w:after="20"/>
      </w:pPr>
    </w:p>
    <w:p>
      <w:pPr>
        <w:pStyle w:val="Heading1"/>
      </w:pPr>
      <w:r>
        <w:t>7. Pruebas de prioridad alta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7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5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38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410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P1-01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Documentos faltantes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Eliminar un documento requerido.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Inventario lo marca faltante y permite solicitarlo.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P1-02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Error aislado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Incluir archivo ilegible o incompatible.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El archivo queda en excepción y el resto continúa.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P1-03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Referencia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Editar referencia y repetir una existente.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Se conserva historial y se advierte duplicidad.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P1-04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Prescripción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Probar descarga real y ETA.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ETA no cierra el caso; se aplica matriz configurada.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P1-05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Alertas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Dejar un caso sin movimiento.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Se notifica según umbral, rol y canal configurados.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P1-06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Memoria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Buscar histórico y caso activo.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No se mezclan universos; se conserva fuente y versión.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P1-07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Reportes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Exportar cartera y benchmark.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Excel incluye campos y fechas requeridas.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P1-08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Permisos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Repetir acciones con Handler, Gerente y CEO.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5"/>
              </w:rPr>
              <w:t>Cada perfil ve y ejecuta solo lo autorizado.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Pruebas de cierre y calidad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7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38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104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P2-01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Trazabilidad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Revisar una modificación de dato, cálculo y template.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Se identifica quién, cuándo, qué cambió y qué versión se usó.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P2-02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Persistencia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Cerrar sesión y volver a abrir el caso.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La información y documentos permanecen disponibles.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P2-03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Concurrencia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Dos usuarios editan el mismo caso.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El sistema evita sobrescritura silenciosa y registra conflicto.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P2-04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Responsive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Usar desktop y móvil en los flujos principales.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No hay solapamientos ni controles inutilizables.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P2-05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Recuperación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Simular error de procesamiento o storage.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Se informa el error y se puede reintentar sin duplicar.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P2-06</w:t>
            </w:r>
          </w:p>
        </w:tc>
        <w:tc>
          <w:tcPr>
            <w:tcW w:type="dxa" w:w="1655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Seguridad</w:t>
            </w:r>
          </w:p>
        </w:tc>
        <w:tc>
          <w:tcPr>
            <w:tcW w:type="dxa" w:w="338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Intentar acceder a otro caso por URL o descarga.</w:t>
            </w:r>
          </w:p>
        </w:tc>
        <w:tc>
          <w:tcPr>
            <w:tcW w:type="dxa" w:w="4104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El acceso se deniega si el perfil no tiene permiso.</w:t>
            </w:r>
          </w:p>
        </w:tc>
      </w:tr>
      <w:tr>
        <w:trPr>
          <w:cantSplit/>
        </w:trPr>
        <w:tc>
          <w:tcPr>
            <w:tcW w:type="dxa" w:w="1007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P2-07</w:t>
            </w:r>
          </w:p>
        </w:tc>
        <w:tc>
          <w:tcPr>
            <w:tcW w:type="dxa" w:w="1655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Manual</w:t>
            </w:r>
          </w:p>
        </w:tc>
        <w:tc>
          <w:tcPr>
            <w:tcW w:type="dxa" w:w="338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Buscar una función desde el menú Manual.</w:t>
            </w:r>
          </w:p>
        </w:tc>
        <w:tc>
          <w:tcPr>
            <w:tcW w:type="dxa" w:w="4104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La explicación corresponde a la versión desplegada.</w:t>
            </w:r>
          </w:p>
        </w:tc>
      </w:tr>
    </w:tbl>
    <w:p>
      <w:pPr>
        <w:spacing w:after="20"/>
      </w:pPr>
    </w:p>
    <w:p>
      <w:pPr>
        <w:pStyle w:val="Heading1"/>
      </w:pPr>
      <w:r>
        <w:t>9. Decisiones que debemos dejar cerradas en la reunión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920"/>
            <w:shd w:fill="1F365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Decisión esperada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Arquitectura</w:t>
            </w:r>
          </w:p>
        </w:tc>
        <w:tc>
          <w:tcPr>
            <w:tcW w:type="dxa" w:w="7920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Backend, base de datos, storage, OCR y ambientes.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Primera entrega</w:t>
            </w:r>
          </w:p>
        </w:tc>
        <w:tc>
          <w:tcPr>
            <w:tcW w:type="dxa" w:w="7920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Qué vertical debe quedar operativa primero: carga, extracción o cálculo.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Criterio de aceptación</w:t>
            </w:r>
          </w:p>
        </w:tc>
        <w:tc>
          <w:tcPr>
            <w:tcW w:type="dxa" w:w="7920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Qué evidencia necesita FIS para considerar una función aprobada.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Dependencias</w:t>
            </w:r>
          </w:p>
        </w:tc>
        <w:tc>
          <w:tcPr>
            <w:tcW w:type="dxa" w:w="7920"/>
            <w:shd w:fill="FFFFFF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Qué respuestas o archivos de FIS bloquean el desarrollo y quién los gestiona.</w:t>
            </w:r>
          </w:p>
        </w:tc>
      </w:tr>
      <w:tr>
        <w:trPr>
          <w:cantSplit/>
        </w:trPr>
        <w:tc>
          <w:tcPr>
            <w:tcW w:type="dxa" w:w="2232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Cadencia</w:t>
            </w:r>
          </w:p>
        </w:tc>
        <w:tc>
          <w:tcPr>
            <w:tcW w:type="dxa" w:w="7920"/>
            <w:shd w:fill="EEF4FB"/>
            <w:tcMar>
              <w:top w:w="100" w:type="dxa"/>
              <w:start w:w="105" w:type="dxa"/>
              <w:bottom w:w="100" w:type="dxa"/>
              <w:end w:w="105" w:type="dxa"/>
            </w:tcMar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/>
                <w:color w:val="1E2C43"/>
                <w:sz w:val="16"/>
              </w:rPr>
              <w:t>Frecuencia de demos, revisión de avances y control de cambios.</w:t>
            </w:r>
          </w:p>
        </w:tc>
      </w:tr>
    </w:tbl>
    <w:p>
      <w:pPr>
        <w:spacing w:after="20"/>
      </w:pPr>
    </w:p>
    <w:p>
      <w:pPr>
        <w:pStyle w:val="Heading1"/>
      </w:pPr>
      <w:r>
        <w:t>10. Salida esperada de Milenko</w:t>
      </w:r>
    </w:p>
    <w:p>
      <w:pPr>
        <w:pStyle w:val="ListBullet"/>
        <w:spacing w:after="40"/>
      </w:pPr>
      <w:r>
        <w:t>Arquitectura y backlog priorizado.</w:t>
      </w:r>
    </w:p>
    <w:p>
      <w:pPr>
        <w:pStyle w:val="ListBullet"/>
        <w:spacing w:after="40"/>
      </w:pPr>
      <w:r>
        <w:t>Primer vertical funcional desplegable.</w:t>
      </w:r>
    </w:p>
    <w:p>
      <w:pPr>
        <w:pStyle w:val="ListBullet"/>
        <w:spacing w:after="40"/>
      </w:pPr>
      <w:r>
        <w:t>Modelo de datos y estrategia de storage.</w:t>
      </w:r>
    </w:p>
    <w:p>
      <w:pPr>
        <w:pStyle w:val="ListBullet"/>
        <w:spacing w:after="40"/>
      </w:pPr>
      <w:r>
        <w:t>Plan de pruebas unitarias, integración y UAT.</w:t>
      </w:r>
    </w:p>
    <w:p>
      <w:pPr>
        <w:pStyle w:val="ListBullet"/>
        <w:spacing w:after="40"/>
      </w:pPr>
      <w:r>
        <w:t>Lista de decisiones pendientes de FIS, sin inventar reglas.</w:t>
      </w:r>
    </w:p>
    <w:p>
      <w:pPr>
        <w:pStyle w:val="ListBullet"/>
        <w:spacing w:after="40"/>
      </w:pPr>
      <w:r>
        <w:t>Manual y documentación de despliegue actualizados.</w:t>
      </w:r>
    </w:p>
    <w:p>
      <w:r>
        <w:rPr>
          <w:b/>
        </w:rPr>
        <w:t>Resultado esperado de la reunión:</w:t>
      </w:r>
      <w:r>
        <w:t xml:space="preserve"> compartir una única lectura del producto, acordar el primer bloque de desarrollo y salir con pruebas concretas que demuestren avance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31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07391"/>
        <w:sz w:val="16"/>
      </w:rPr>
      <w:t>Documento de trabajo · Equipo de desarrollo · 22 septiembre 2026</w:t>
    </w:r>
  </w:p>
  <w:p>
    <w:pPr>
      <w:jc w:val="right"/>
    </w:pPr>
    <w:r>
      <w:rPr>
        <w:rFonts w:ascii="Arial" w:hAnsi="Arial"/>
        <w:color w:val="607391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76"/>
      <w:gridCol w:w="5076"/>
    </w:tblGrid>
    <w:tr>
      <w:tc>
        <w:tcPr>
          <w:tcW w:type="dxa" w:w="864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365760" cy="35570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is-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557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288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1F365B"/>
              <w:sz w:val="16"/>
            </w:rPr>
            <w:t>INTERVENT PRECLAIM  ·  REUNIÓN DE DESARROLLO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E2C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