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2"/>
          <w:szCs w:val="32"/>
        </w:rPr>
        <w:t xml:space="preserve">NPR SpA</w:t>
      </w:r>
    </w:p>
    <w:p>
      <w:pPr>
        <w:spacing w:after="100"/>
        <w:jc w:val="center"/>
      </w:pPr>
      <w:r>
        <w:rPr>
          <w:rFonts w:ascii="Calibri" w:cs="Calibri" w:eastAsia="Calibri" w:hAnsi="Calibri"/>
          <w:i/>
          <w:iCs/>
          <w:sz w:val="22"/>
          <w:szCs w:val="22"/>
        </w:rPr>
        <w:t xml:space="preserve">RUT N° 77.961.857-9</w:t>
      </w:r>
    </w:p>
    <w:p>
      <w:pPr>
        <w:spacing w:after="300"/>
      </w:pPr>
    </w:p>
    <w:p>
      <w:pPr>
        <w:spacing w:after="200"/>
        <w:jc w:val="center"/>
      </w:pPr>
      <w:r>
        <w:rPr>
          <w:rFonts w:ascii="Calibri" w:cs="Calibri" w:eastAsia="Calibri" w:hAnsi="Calibri"/>
          <w:b/>
          <w:bCs/>
          <w:sz w:val="28"/>
          <w:szCs w:val="28"/>
        </w:rPr>
        <w:t xml:space="preserve">CONTRATO DE PRESTACIÓN DE SERVICIOS</w:t>
      </w:r>
    </w:p>
    <w:p>
      <w:pPr>
        <w:spacing w:after="100"/>
        <w:jc w:val="center"/>
      </w:pPr>
      <w:r>
        <w:rPr>
          <w:rFonts w:ascii="Calibri" w:cs="Calibri" w:eastAsia="Calibri" w:hAnsi="Calibri"/>
          <w:i/>
          <w:iCs/>
          <w:sz w:val="24"/>
          <w:szCs w:val="24"/>
        </w:rPr>
        <w:t xml:space="preserve">DESARROLLO E IMPLEMENTACIÓN — INTERVENT PRECLAIM</w:t>
      </w:r>
    </w:p>
    <w:p>
      <w:pPr>
        <w:spacing w:after="200"/>
      </w:pPr>
    </w:p>
    <w:p>
      <w:pPr>
        <w:spacing w:after="100"/>
        <w:jc w:val="center"/>
      </w:pPr>
      <w:r>
        <w:rPr>
          <w:rFonts w:ascii="Calibri" w:cs="Calibri" w:eastAsia="Calibri" w:hAnsi="Calibri"/>
          <w:i/>
          <w:iCs/>
          <w:sz w:val="22"/>
          <w:szCs w:val="22"/>
        </w:rPr>
        <w:t xml:space="preserve">ENTRE</w:t>
      </w:r>
    </w:p>
    <w:p>
      <w:pPr>
        <w:spacing w:after="200"/>
        <w:jc w:val="center"/>
      </w:pPr>
      <w:r>
        <w:rPr>
          <w:rFonts w:ascii="Calibri" w:cs="Calibri" w:eastAsia="Calibri" w:hAnsi="Calibri"/>
          <w:b/>
          <w:bCs/>
          <w:sz w:val="24"/>
          <w:szCs w:val="24"/>
        </w:rPr>
        <w:t xml:space="preserve">NPR SpA</w:t>
      </w:r>
    </w:p>
    <w:p>
      <w:pPr>
        <w:spacing w:after="100"/>
        <w:jc w:val="center"/>
      </w:pPr>
      <w:r>
        <w:rPr>
          <w:rFonts w:ascii="Calibri" w:cs="Calibri" w:eastAsia="Calibri" w:hAnsi="Calibri"/>
          <w:i/>
          <w:iCs/>
          <w:sz w:val="22"/>
          <w:szCs w:val="22"/>
        </w:rPr>
        <w:t xml:space="preserve">Y</w:t>
      </w:r>
    </w:p>
    <w:p>
      <w:pPr>
        <w:spacing w:after="200"/>
        <w:jc w:val="center"/>
      </w:pPr>
      <w:r>
        <w:rPr>
          <w:rFonts w:ascii="Calibri" w:cs="Calibri" w:eastAsia="Calibri" w:hAnsi="Calibri"/>
          <w:b/>
          <w:bCs/>
          <w:sz w:val="24"/>
          <w:szCs w:val="24"/>
        </w:rPr>
        <w:t xml:space="preserve">FRUIT INSURANCE SERVICES CHILE SpA</w:t>
      </w:r>
    </w:p>
    <w:p>
      <w:pPr>
        <w:spacing w:after="300"/>
      </w:pPr>
    </w:p>
    <w:p>
      <w:pPr>
        <w:spacing w:after="100"/>
        <w:jc w:val="center"/>
      </w:pPr>
      <w:r>
        <w:rPr>
          <w:rFonts w:ascii="Calibri" w:cs="Calibri" w:eastAsia="Calibri" w:hAnsi="Calibri"/>
          <w:i/>
          <w:iCs/>
          <w:sz w:val="22"/>
          <w:szCs w:val="22"/>
        </w:rPr>
        <w:t xml:space="preserve">Santiago, 27 de agosto de 2026</w:t>
      </w:r>
    </w:p>
    <w:p>
      <w:pPr>
        <w:spacing w:after="100"/>
        <w:jc w:val="center"/>
      </w:pPr>
      <w:r>
        <w:rPr>
          <w:rFonts w:ascii="Calibri" w:cs="Calibri" w:eastAsia="Calibri" w:hAnsi="Calibri"/>
          <w:i/>
          <w:iCs/>
          <w:sz w:val="22"/>
          <w:szCs w:val="22"/>
        </w:rPr>
        <w:t xml:space="preserve">Confidencial</w:t>
      </w:r>
    </w:p>
    <w:p>
      <w:r>
        <w:br w:type="page"/>
      </w:r>
    </w:p>
    <w:p>
      <w:pPr>
        <w:spacing w:after="200" w:line="276"/>
        <w:jc w:val="both"/>
      </w:pPr>
      <w:r>
        <w:rPr>
          <w:rFonts w:ascii="Calibri" w:cs="Calibri" w:eastAsia="Calibri" w:hAnsi="Calibri"/>
        </w:rPr>
        <w:t xml:space="preserve">En Santiago, a 27 de agosto de 2026, comparecen: por una parte, </w:t>
      </w:r>
      <w:r>
        <w:rPr>
          <w:rFonts w:ascii="Calibri" w:cs="Calibri" w:eastAsia="Calibri" w:hAnsi="Calibri"/>
          <w:b/>
          <w:bCs/>
        </w:rPr>
        <w:t xml:space="preserve">NPR SpA</w:t>
      </w:r>
      <w:r>
        <w:rPr>
          <w:rFonts w:ascii="Calibri" w:cs="Calibri" w:eastAsia="Calibri" w:hAnsi="Calibri"/>
        </w:rPr>
        <w:t xml:space="preserve">, Rol Único Tributario N° 77.961.857-9, en adelante también denominada el “Proveedor”, representada por don </w:t>
      </w:r>
      <w:r>
        <w:rPr>
          <w:rFonts w:ascii="Calibri" w:cs="Calibri" w:eastAsia="Calibri" w:hAnsi="Calibri"/>
          <w:b/>
          <w:bCs/>
        </w:rPr>
        <w:t xml:space="preserve">Julio César Espinoza Castillo</w:t>
      </w:r>
      <w:r>
        <w:rPr>
          <w:rFonts w:ascii="Calibri" w:cs="Calibri" w:eastAsia="Calibri" w:hAnsi="Calibri"/>
        </w:rPr>
        <w:t xml:space="preserve">, cédula de identidad N° 13.225.511-3, en su calidad de Gerente General, ambos domiciliados para estos efectos en la comuna de Colina, Región Metropolitana de Santiago; y por la otra parte, </w:t>
      </w:r>
      <w:r>
        <w:rPr>
          <w:rFonts w:ascii="Calibri" w:cs="Calibri" w:eastAsia="Calibri" w:hAnsi="Calibri"/>
          <w:b/>
          <w:bCs/>
        </w:rPr>
        <w:t xml:space="preserve">Fruit Insurance Services Chile SpA</w:t>
      </w:r>
      <w:r>
        <w:rPr>
          <w:rFonts w:ascii="Calibri" w:cs="Calibri" w:eastAsia="Calibri" w:hAnsi="Calibri"/>
        </w:rPr>
        <w:t xml:space="preserve">, Rol Único Tributario N° 76.589.348-8, de giro actividades de consultoría de gestión, en adelante también denominada la “Empresa” o el “Cliente”, representada por don </w:t>
      </w:r>
      <w:r>
        <w:rPr>
          <w:rFonts w:ascii="Calibri" w:cs="Calibri" w:eastAsia="Calibri" w:hAnsi="Calibri"/>
          <w:b/>
          <w:bCs/>
        </w:rPr>
        <w:t xml:space="preserve">Jan Klempau Pereira</w:t>
      </w:r>
      <w:r>
        <w:rPr>
          <w:rFonts w:ascii="Calibri" w:cs="Calibri" w:eastAsia="Calibri" w:hAnsi="Calibri"/>
        </w:rPr>
        <w:t xml:space="preserve">, cédula de identidad N° 16.592.281-6, en su calidad de representante legal, ambos domiciliados para estos efectos en Libertad 302, Viña del Mar, Región de Valparaíso; quienes vienen en celebrar el presente contrato de prestación de servicios, en adelante el “Contrato”:</w:t>
      </w:r>
    </w:p>
    <w:p>
      <w:pPr>
        <w:pBdr>
          <w:bottom w:val="single" w:color="999999" w:sz="4" w:space="4"/>
        </w:pBdr>
        <w:spacing w:after="150" w:before="300"/>
        <w:jc w:val="left"/>
      </w:pPr>
      <w:r>
        <w:rPr>
          <w:rFonts w:ascii="Calibri" w:cs="Calibri" w:eastAsia="Calibri" w:hAnsi="Calibri"/>
          <w:b/>
          <w:bCs/>
          <w:sz w:val="24"/>
          <w:szCs w:val="24"/>
        </w:rPr>
        <w:t xml:space="preserve">PRIMERO. Antecedentes y definiciones.</w:t>
      </w:r>
    </w:p>
    <w:p>
      <w:pPr>
        <w:spacing w:after="200" w:line="276"/>
        <w:jc w:val="both"/>
      </w:pPr>
      <w:r>
        <w:rPr>
          <w:rFonts w:ascii="Calibri" w:cs="Calibri" w:eastAsia="Calibri" w:hAnsi="Calibri"/>
          <w:b/>
          <w:bCs/>
        </w:rPr>
        <w:t xml:space="preserve">1.1. </w:t>
      </w:r>
      <w:r>
        <w:rPr>
          <w:rFonts w:ascii="Calibri" w:cs="Calibri" w:eastAsia="Calibri" w:hAnsi="Calibri"/>
        </w:rPr>
        <w:t xml:space="preserve">FIS Chile gestiona hoy el proceso de preclaim de carga dañada apoyándose en múltiples planillas Excel, ingreso manual de información y revisión documental dispersa entre distintos handlers, lo que dificulta la identificación de documentos faltantes, la estandarización del cálculo de pérdida y la visibilidad gerencial sobre el portafolio completo de casos. El objetivo del proyecto es centralizar la carpeta documental de cada caso, clasificarla automáticamente, calcular la pérdida bajo métodos comparativos y entregar un expediente digital ordenado y trazable, listo para revisión humana y posterior traspaso a FIS o a Lawgistic.</w:t>
      </w:r>
    </w:p>
    <w:p>
      <w:pPr>
        <w:spacing w:after="200" w:line="276"/>
        <w:jc w:val="both"/>
      </w:pPr>
      <w:r>
        <w:rPr>
          <w:rFonts w:ascii="Calibri" w:cs="Calibri" w:eastAsia="Calibri" w:hAnsi="Calibri"/>
          <w:b/>
          <w:bCs/>
        </w:rPr>
        <w:t xml:space="preserve">1.2. </w:t>
      </w:r>
      <w:r>
        <w:rPr>
          <w:rFonts w:ascii="Calibri" w:cs="Calibri" w:eastAsia="Calibri" w:hAnsi="Calibri"/>
        </w:rPr>
        <w:t xml:space="preserve">El Proveedor presta servicios de consultoría tecnológica, diseño, desarrollo e implementación de soluciones de automatización e inteligencia artificial, con experiencia en plataformas web y procesamiento documental.</w:t>
      </w:r>
    </w:p>
    <w:p>
      <w:pPr>
        <w:spacing w:after="200" w:line="276"/>
        <w:jc w:val="both"/>
      </w:pPr>
      <w:r>
        <w:rPr>
          <w:rFonts w:ascii="Calibri" w:cs="Calibri" w:eastAsia="Calibri" w:hAnsi="Calibri"/>
          <w:b/>
          <w:bCs/>
        </w:rPr>
        <w:t xml:space="preserve">1.3. </w:t>
      </w:r>
      <w:r>
        <w:rPr>
          <w:rFonts w:ascii="Calibri" w:cs="Calibri" w:eastAsia="Calibri" w:hAnsi="Calibri"/>
        </w:rPr>
        <w:t xml:space="preserve">Para efectos del presente Contrato: (i) “Plataforma” o “Intervent Preclaim”: la solución de software desarrollada a medida para la Empresa conforme al Anexo A; (ii) “Servicios”: las actividades y entregables descritos en la Cláusula Tercera y el Anexo A; (iii) “Entregables”: los productos verificables que el Proveedor debe entregar conforme al presente Contrato; (iv) “Proyecto”: el desarrollo e implementación de Intervent Preclaim conforme al alcance descrito en el Anexo A.</w:t>
      </w:r>
    </w:p>
    <w:p>
      <w:pPr>
        <w:spacing w:after="200" w:line="276"/>
        <w:jc w:val="both"/>
      </w:pPr>
      <w:r>
        <w:rPr>
          <w:rFonts w:ascii="Calibri" w:cs="Calibri" w:eastAsia="Calibri" w:hAnsi="Calibri"/>
          <w:b/>
          <w:bCs/>
        </w:rPr>
        <w:t xml:space="preserve">1.4. </w:t>
      </w:r>
      <w:r>
        <w:rPr>
          <w:rFonts w:ascii="Calibri" w:cs="Calibri" w:eastAsia="Calibri" w:hAnsi="Calibri"/>
        </w:rPr>
        <w:t xml:space="preserve">Forma parte de este Contrato el Anexo A (Alcance del Proyecto y exclusiones), el Anexo B (Tabla de precios e hitos de pago) y el Anexo C (Propuesta comercial “Intervent Preclaim” de fecha 24 de agosto de 2026, adjunta como documento separado). En caso de contradicción o ambigüedad entre estos documentos, prevalecerá el siguiente orden de prelación: (i) el cuerpo de este Contrato; (ii) el Anexo A; y (iii) el Anexo C.</w:t>
      </w:r>
    </w:p>
    <w:p>
      <w:pPr>
        <w:pBdr>
          <w:bottom w:val="single" w:color="999999" w:sz="4" w:space="4"/>
        </w:pBdr>
        <w:spacing w:after="150" w:before="300"/>
        <w:jc w:val="left"/>
      </w:pPr>
      <w:r>
        <w:rPr>
          <w:rFonts w:ascii="Calibri" w:cs="Calibri" w:eastAsia="Calibri" w:hAnsi="Calibri"/>
          <w:b/>
          <w:bCs/>
          <w:sz w:val="24"/>
          <w:szCs w:val="24"/>
        </w:rPr>
        <w:t xml:space="preserve">SEGUNDO. Objeto del Contrato.</w:t>
      </w:r>
    </w:p>
    <w:p>
      <w:pPr>
        <w:spacing w:after="200" w:line="276"/>
        <w:jc w:val="both"/>
      </w:pPr>
      <w:r>
        <w:rPr>
          <w:rFonts w:ascii="Calibri" w:cs="Calibri" w:eastAsia="Calibri" w:hAnsi="Calibri"/>
        </w:rPr>
        <w:t xml:space="preserve">La Empresa contrata al Proveedor para ejecutar el diseño, desarrollo e implementación de Intervent Preclaim, plataforma de gestión temprana de casos de carga dañada y recuperos, que centraliza la documentación de cada caso, clasifica automáticamente los documentos, calcula la pérdida bajo métodos comparativos y genera un expediente digital trazable, conforme al alcance descrito en el Anexo A.</w:t>
      </w:r>
    </w:p>
    <w:p>
      <w:pPr>
        <w:spacing w:after="200" w:line="276"/>
        <w:jc w:val="both"/>
      </w:pPr>
      <w:r>
        <w:rPr>
          <w:rFonts w:ascii="Calibri" w:cs="Calibri" w:eastAsia="Calibri" w:hAnsi="Calibri"/>
        </w:rPr>
        <w:t xml:space="preserve">El Proveedor prestará adicionalmente servicio de soporte y mantenimiento correctivo conforme a las Cláusulas Quinto y Octavo.</w:t>
      </w:r>
    </w:p>
    <w:p>
      <w:pPr>
        <w:pBdr>
          <w:bottom w:val="single" w:color="999999" w:sz="4" w:space="4"/>
        </w:pBdr>
        <w:spacing w:after="150" w:before="300"/>
        <w:jc w:val="left"/>
      </w:pPr>
      <w:r>
        <w:rPr>
          <w:rFonts w:ascii="Calibri" w:cs="Calibri" w:eastAsia="Calibri" w:hAnsi="Calibri"/>
          <w:b/>
          <w:bCs/>
          <w:sz w:val="24"/>
          <w:szCs w:val="24"/>
        </w:rPr>
        <w:t xml:space="preserve">TERCERO. Alcance de los Servicios y Entregables.</w:t>
      </w:r>
    </w:p>
    <w:p>
      <w:pPr>
        <w:spacing w:after="200" w:line="276"/>
        <w:jc w:val="both"/>
      </w:pPr>
      <w:r>
        <w:rPr>
          <w:rFonts w:ascii="Calibri" w:cs="Calibri" w:eastAsia="Calibri" w:hAnsi="Calibri"/>
        </w:rPr>
        <w:t xml:space="preserve">Los Servicios se prestarán en modalidad remota e incluirán diseño, desarrollo, pruebas, puesta en operación y documentación mínima del Proyecto. El alcance funcional demostrado y comprometido para este Contrato comprende, como mínimo, lo siguiente:</w:t>
      </w:r>
    </w:p>
    <w:p>
      <w:pPr>
        <w:pStyle w:val="ListParagraph"/>
        <w:numPr>
          <w:ilvl w:val="0"/>
          <w:numId w:val="2"/>
        </w:numPr>
        <w:spacing w:after="100"/>
        <w:jc w:val="both"/>
      </w:pPr>
      <w:r>
        <w:rPr>
          <w:rFonts w:ascii="Calibri" w:cs="Calibri" w:eastAsia="Calibri" w:hAnsi="Calibri"/>
        </w:rPr>
        <w:t xml:space="preserve">Gestión de usuarios con perfiles Handler (gestión operativa de casos), Gerente (supervisión del portafolio y reversión de estados con motivo obligatorio) y CEO/Dirección (consulta en modo de solo lectura).</w:t>
      </w:r>
    </w:p>
    <w:p>
      <w:pPr>
        <w:pStyle w:val="ListParagraph"/>
        <w:numPr>
          <w:ilvl w:val="0"/>
          <w:numId w:val="2"/>
        </w:numPr>
        <w:spacing w:after="100"/>
        <w:jc w:val="both"/>
      </w:pPr>
      <w:r>
        <w:rPr>
          <w:rFonts w:ascii="Calibri" w:cs="Calibri" w:eastAsia="Calibri" w:hAnsi="Calibri"/>
        </w:rPr>
        <w:t xml:space="preserve">Creación de casos en forma manual y por carga masiva de carpeta documental, con detección de referencias duplicadas.</w:t>
      </w:r>
    </w:p>
    <w:p>
      <w:pPr>
        <w:pStyle w:val="ListParagraph"/>
        <w:numPr>
          <w:ilvl w:val="0"/>
          <w:numId w:val="2"/>
        </w:numPr>
        <w:spacing w:after="100"/>
        <w:jc w:val="both"/>
      </w:pPr>
      <w:r>
        <w:rPr>
          <w:rFonts w:ascii="Calibri" w:cs="Calibri" w:eastAsia="Calibri" w:hAnsi="Calibri"/>
        </w:rPr>
        <w:t xml:space="preserve">Clasificación automática de documentos según los tipos definidos en la propuesta comercial (documentos de notificación y respaldo, de embarque y carga, y de inspección y calidad), incluyendo el reconocimiento de texto en documentos escaneados. La clasificación permitirá el renombrado automático de los documentos según referencia y tipo, conservando el nombre original y permitiendo corrección manual por parte del usuario. La Plataforma procesará los formatos PDF, XLSX, XLS y CSV definidos para el Proyecto.</w:t>
      </w:r>
    </w:p>
    <w:p>
      <w:pPr>
        <w:pStyle w:val="ListParagraph"/>
        <w:numPr>
          <w:ilvl w:val="0"/>
          <w:numId w:val="2"/>
        </w:numPr>
        <w:spacing w:after="100"/>
        <w:jc w:val="both"/>
      </w:pPr>
      <w:r>
        <w:rPr>
          <w:rFonts w:ascii="Calibri" w:cs="Calibri" w:eastAsia="Calibri" w:hAnsi="Calibri"/>
        </w:rPr>
        <w:t xml:space="preserve">Almacenamiento de datos operativo y control de acceso de usuarios mediante inicio de sesión, necesarios para el uso productivo del Proyecto.</w:t>
      </w:r>
    </w:p>
    <w:p>
      <w:pPr>
        <w:pStyle w:val="ListParagraph"/>
        <w:numPr>
          <w:ilvl w:val="0"/>
          <w:numId w:val="2"/>
        </w:numPr>
        <w:spacing w:after="100"/>
        <w:jc w:val="both"/>
      </w:pPr>
      <w:r>
        <w:rPr>
          <w:rFonts w:ascii="Calibri" w:cs="Calibri" w:eastAsia="Calibri" w:hAnsi="Calibri"/>
        </w:rPr>
        <w:t xml:space="preserve">Expediente digital único por caso, con datos generales, documentos disponibles y faltantes, análisis de causa, cálculo de pérdida, historial de eventos, estado actual, handler responsable y riesgo de prescripción.</w:t>
      </w:r>
    </w:p>
    <w:p>
      <w:pPr>
        <w:pStyle w:val="ListParagraph"/>
        <w:numPr>
          <w:ilvl w:val="0"/>
          <w:numId w:val="2"/>
        </w:numPr>
        <w:spacing w:after="100"/>
        <w:jc w:val="both"/>
      </w:pPr>
      <w:r>
        <w:rPr>
          <w:rFonts w:ascii="Calibri" w:cs="Calibri" w:eastAsia="Calibri" w:hAnsi="Calibri"/>
        </w:rPr>
        <w:t xml:space="preserve">Inventario documental: checklist visual de cobertura documental, porcentaje de avance, y generación automática del listado y texto para solicitar la documentación pendiente, sin envío automático por correo.</w:t>
      </w:r>
    </w:p>
    <w:p>
      <w:pPr>
        <w:pStyle w:val="ListParagraph"/>
        <w:numPr>
          <w:ilvl w:val="0"/>
          <w:numId w:val="2"/>
        </w:numPr>
        <w:spacing w:after="100"/>
        <w:jc w:val="both"/>
      </w:pPr>
      <w:r>
        <w:rPr>
          <w:rFonts w:ascii="Calibri" w:cs="Calibri" w:eastAsia="Calibri" w:hAnsi="Calibri"/>
        </w:rPr>
        <w:t xml:space="preserve">Extracción asistida y automatizada de información desde BL, facturas, liquidaciones y demás documentos definidos dentro del alcance del Proyecto, incluyendo los datos y valores necesarios para alimentar los tres métodos comparativos de cálculo de pérdida contemplados en la Plataforma. Toda información extraída deberá ser revisada y confirmada por el Handler antes de ser utilizada como dato definitivo o base del cálculo.</w:t>
      </w:r>
    </w:p>
    <w:p>
      <w:pPr>
        <w:pStyle w:val="ListParagraph"/>
        <w:numPr>
          <w:ilvl w:val="0"/>
          <w:numId w:val="2"/>
        </w:numPr>
        <w:spacing w:after="100"/>
        <w:jc w:val="both"/>
      </w:pPr>
      <w:r>
        <w:rPr>
          <w:rFonts w:ascii="Calibri" w:cs="Calibri" w:eastAsia="Calibri" w:hAnsi="Calibri"/>
        </w:rPr>
        <w:t xml:space="preserve">Análisis de causa y méritos: registro de causa de daño, causa potencial, sustento documental, conclusión del Handler y evaluación preliminar de mérito, como recomendación preliminar sujeta a revisión humana.</w:t>
      </w:r>
    </w:p>
    <w:p>
      <w:pPr>
        <w:pStyle w:val="ListParagraph"/>
        <w:numPr>
          <w:ilvl w:val="0"/>
          <w:numId w:val="2"/>
        </w:numPr>
        <w:spacing w:after="100"/>
        <w:jc w:val="both"/>
      </w:pPr>
      <w:r>
        <w:rPr>
          <w:rFonts w:ascii="Calibri" w:cs="Calibri" w:eastAsia="Calibri" w:hAnsi="Calibri"/>
        </w:rPr>
        <w:t xml:space="preserve">Generación automatizada de cartas estándar de Preclaim AoR, Harvest, LoA y claim notice, a partir de los datos disponibles en el expediente digital y de la información extraída de los documentos del caso, incluyendo BL cuando corresponda, conforme a las plantillas base entregadas o validadas por la Empresa. Las cartas generadas quedarán sujetas a revisión y aprobación del Handler antes de su utilización o emisión.</w:t>
      </w:r>
    </w:p>
    <w:p>
      <w:pPr>
        <w:pStyle w:val="ListParagraph"/>
        <w:numPr>
          <w:ilvl w:val="0"/>
          <w:numId w:val="2"/>
        </w:numPr>
        <w:spacing w:after="100"/>
        <w:jc w:val="both"/>
      </w:pPr>
      <w:r>
        <w:rPr>
          <w:rFonts w:ascii="Calibri" w:cs="Calibri" w:eastAsia="Calibri" w:hAnsi="Calibri"/>
        </w:rPr>
        <w:t xml:space="preserve">Cálculo de pérdida bajo tres métodos comparativos, en USD y CLP, incluyendo venta a firme, valor de nota de crédito y rubros adicionales, con justificación obligatoria del método elegido y bloqueo de edición tras el traspaso.</w:t>
      </w:r>
    </w:p>
    <w:p>
      <w:pPr>
        <w:pStyle w:val="ListParagraph"/>
        <w:numPr>
          <w:ilvl w:val="0"/>
          <w:numId w:val="2"/>
        </w:numPr>
        <w:spacing w:after="100"/>
        <w:jc w:val="both"/>
      </w:pPr>
      <w:r>
        <w:rPr>
          <w:rFonts w:ascii="Calibri" w:cs="Calibri" w:eastAsia="Calibri" w:hAnsi="Calibri"/>
        </w:rPr>
        <w:t xml:space="preserve">Estados del caso: datos incompletos, preclaim, documentación pendiente, cálculo completo, traspasado a FIS y traspasado a Lawgistic.</w:t>
      </w:r>
    </w:p>
    <w:p>
      <w:pPr>
        <w:pStyle w:val="ListParagraph"/>
        <w:numPr>
          <w:ilvl w:val="0"/>
          <w:numId w:val="2"/>
        </w:numPr>
        <w:spacing w:after="100"/>
        <w:jc w:val="both"/>
      </w:pPr>
      <w:r>
        <w:rPr>
          <w:rFonts w:ascii="Calibri" w:cs="Calibri" w:eastAsia="Calibri" w:hAnsi="Calibri"/>
        </w:rPr>
        <w:t xml:space="preserve">Prescripción y riesgos: fecha de prescripción, días restantes, casos vencidos, nivel de riesgo e identificación de casos sin movimiento durante el período definido por la Empresa, para las jurisdicciones de La Haya y Hamburgo contempladas en el demo aprobado.</w:t>
      </w:r>
    </w:p>
    <w:p>
      <w:pPr>
        <w:pStyle w:val="ListParagraph"/>
        <w:numPr>
          <w:ilvl w:val="0"/>
          <w:numId w:val="2"/>
        </w:numPr>
        <w:spacing w:after="100"/>
        <w:jc w:val="both"/>
      </w:pPr>
      <w:r>
        <w:rPr>
          <w:rFonts w:ascii="Calibri" w:cs="Calibri" w:eastAsia="Calibri" w:hAnsi="Calibri"/>
        </w:rPr>
        <w:t xml:space="preserve">Dashboard operativo y vista de Benchmark por handler.</w:t>
      </w:r>
    </w:p>
    <w:p>
      <w:pPr>
        <w:pStyle w:val="ListParagraph"/>
        <w:numPr>
          <w:ilvl w:val="0"/>
          <w:numId w:val="2"/>
        </w:numPr>
        <w:spacing w:after="100"/>
        <w:jc w:val="both"/>
      </w:pPr>
      <w:r>
        <w:rPr>
          <w:rFonts w:ascii="Calibri" w:cs="Calibri" w:eastAsia="Calibri" w:hAnsi="Calibri"/>
        </w:rPr>
        <w:t xml:space="preserve">Carga inicial del histórico de aproximadamente 4.240 registros en 39 hojas, entregado por la Empresa para efectos de este proyecto, con búsqueda sobre dicho histórico.</w:t>
      </w:r>
    </w:p>
    <w:p>
      <w:pPr>
        <w:pStyle w:val="ListParagraph"/>
        <w:numPr>
          <w:ilvl w:val="0"/>
          <w:numId w:val="2"/>
        </w:numPr>
        <w:spacing w:after="100"/>
        <w:jc w:val="both"/>
      </w:pPr>
      <w:r>
        <w:rPr>
          <w:rFonts w:ascii="Calibri" w:cs="Calibri" w:eastAsia="Calibri" w:hAnsi="Calibri"/>
        </w:rPr>
        <w:t xml:space="preserve">Importación de nuevos archivos Excel al histórico, conforme a la estructura ya utilizada en la carga inicial, permitiendo incorporar registros adicionales sobre la misma base, sin homologación automática de campos, validación asistida, detección de duplicados ni reversión de importaciones.</w:t>
      </w:r>
    </w:p>
    <w:p>
      <w:pPr>
        <w:pStyle w:val="ListParagraph"/>
        <w:numPr>
          <w:ilvl w:val="0"/>
          <w:numId w:val="2"/>
        </w:numPr>
        <w:spacing w:after="100"/>
        <w:jc w:val="both"/>
      </w:pPr>
      <w:r>
        <w:rPr>
          <w:rFonts w:ascii="Calibri" w:cs="Calibri" w:eastAsia="Calibri" w:hAnsi="Calibri"/>
        </w:rPr>
        <w:t xml:space="preserve">Historial, auditoría e informes: registro de cambios de estado, documentos cargados, cálculos generados, análisis confirmado, cartas generadas, usuario responsable y fecha/hora de cada evento; generación de informe de revisión y de carta de notificación a la naviera, descargables en formato texto.</w:t>
      </w:r>
    </w:p>
    <w:p>
      <w:pPr>
        <w:pStyle w:val="ListParagraph"/>
        <w:numPr>
          <w:ilvl w:val="0"/>
          <w:numId w:val="2"/>
        </w:numPr>
        <w:spacing w:after="100"/>
        <w:jc w:val="both"/>
      </w:pPr>
      <w:r>
        <w:rPr>
          <w:rFonts w:ascii="Calibri" w:cs="Calibri" w:eastAsia="Calibri" w:hAnsi="Calibri"/>
        </w:rPr>
        <w:t xml:space="preserve">Manual de usuario integrado a la Plataforma, con la descripción de roles, dashboard, gestión de casos, carga documental, clasificación, checklist, análisis, cálculos, historial, alertas, cartas y benchmark.</w:t>
      </w:r>
    </w:p>
    <w:p>
      <w:pPr>
        <w:pStyle w:val="ListParagraph"/>
        <w:numPr>
          <w:ilvl w:val="0"/>
          <w:numId w:val="2"/>
        </w:numPr>
        <w:spacing w:after="100"/>
        <w:jc w:val="both"/>
      </w:pPr>
      <w:r>
        <w:rPr>
          <w:rFonts w:ascii="Calibri" w:cs="Calibri" w:eastAsia="Calibri" w:hAnsi="Calibri"/>
        </w:rPr>
        <w:t xml:space="preserve">Traspaso de caso hacia FIS o Lawgistic, entendido como el cambio de estado que cierra el proceso de Preclaim dentro de la Plataforma y bloquea la edición posterior del cálculo, sin que ello implique integración informática con sistemas de FIS o de Lawgistic ni gestión de las etapas posteriores al traspaso.</w:t>
      </w:r>
    </w:p>
    <w:p>
      <w:pPr>
        <w:spacing w:after="200" w:line="276"/>
        <w:jc w:val="both"/>
      </w:pPr>
      <w:r>
        <w:rPr>
          <w:rFonts w:ascii="Calibri" w:cs="Calibri" w:eastAsia="Calibri" w:hAnsi="Calibri"/>
        </w:rPr>
        <w:t xml:space="preserve">La descripción técnica y funcional completa se encuentra en el Anexo A de este Contrato, el cual forma parte integrante del mismo.</w:t>
      </w:r>
    </w:p>
    <w:p>
      <w:pPr>
        <w:spacing w:after="100" w:before="150"/>
      </w:pPr>
      <w:r>
        <w:rPr>
          <w:rFonts w:ascii="Calibri" w:cs="Calibri" w:eastAsia="Calibri" w:hAnsi="Calibri"/>
          <w:b/>
          <w:bCs/>
          <w:sz w:val="22"/>
          <w:szCs w:val="22"/>
        </w:rPr>
        <w:t xml:space="preserve">3.1 Exclusiones explícitas</w:t>
      </w:r>
    </w:p>
    <w:p>
      <w:pPr>
        <w:spacing w:after="200" w:line="276"/>
        <w:jc w:val="both"/>
      </w:pPr>
      <w:r>
        <w:rPr>
          <w:rFonts w:ascii="Calibri" w:cs="Calibri" w:eastAsia="Calibri" w:hAnsi="Calibri"/>
        </w:rPr>
        <w:t xml:space="preserve">Quedan expresamente excluidos del alcance de este Contrato, entre otros, los siguientes elementos, los cuales no forman parte de los Servicios contratados y requerirían una evaluación de alcance y precio independiente en caso de contratarse a futuro:</w:t>
      </w:r>
    </w:p>
    <w:p>
      <w:pPr>
        <w:pStyle w:val="ListParagraph"/>
        <w:numPr>
          <w:ilvl w:val="0"/>
          <w:numId w:val="2"/>
        </w:numPr>
        <w:spacing w:after="100"/>
        <w:jc w:val="both"/>
      </w:pPr>
      <w:r>
        <w:rPr>
          <w:rFonts w:ascii="Calibri" w:cs="Calibri" w:eastAsia="Calibri" w:hAnsi="Calibri"/>
        </w:rPr>
        <w:t xml:space="preserve">Asistente automático de homologación de campos, validación, detección de duplicados y reversión de importaciones sobre el histórico.</w:t>
      </w:r>
    </w:p>
    <w:p>
      <w:pPr>
        <w:pStyle w:val="ListParagraph"/>
        <w:numPr>
          <w:ilvl w:val="0"/>
          <w:numId w:val="2"/>
        </w:numPr>
        <w:spacing w:after="100"/>
        <w:jc w:val="both"/>
      </w:pPr>
      <w:r>
        <w:rPr>
          <w:rFonts w:ascii="Calibri" w:cs="Calibri" w:eastAsia="Calibri" w:hAnsi="Calibri"/>
        </w:rPr>
        <w:t xml:space="preserve">Importación masiva de casos activos adicionales (distinta de la importación de nuevos archivos Excel al histórico, que sí forma parte del alcance del Proyecto).</w:t>
      </w:r>
    </w:p>
    <w:p>
      <w:pPr>
        <w:pStyle w:val="ListParagraph"/>
        <w:numPr>
          <w:ilvl w:val="0"/>
          <w:numId w:val="2"/>
        </w:numPr>
        <w:spacing w:after="100"/>
        <w:jc w:val="both"/>
      </w:pPr>
      <w:r>
        <w:rPr>
          <w:rFonts w:ascii="Calibri" w:cs="Calibri" w:eastAsia="Calibri" w:hAnsi="Calibri"/>
        </w:rPr>
        <w:t xml:space="preserve">Control de permisos avanzado por perfil y gestión de accesos granular sobre el universo completo de datos históricos, más allá de la autenticación básica de usuarios del Proyecto.</w:t>
      </w:r>
    </w:p>
    <w:p>
      <w:pPr>
        <w:pStyle w:val="ListParagraph"/>
        <w:numPr>
          <w:ilvl w:val="0"/>
          <w:numId w:val="2"/>
        </w:numPr>
        <w:spacing w:after="100"/>
        <w:jc w:val="both"/>
      </w:pPr>
      <w:r>
        <w:rPr>
          <w:rFonts w:ascii="Calibri" w:cs="Calibri" w:eastAsia="Calibri" w:hAnsi="Calibri"/>
        </w:rPr>
        <w:t xml:space="preserve">Generación automática de la carta de subrogación (SUBRO), de certificados de destrucción y de otros documentos no definidos expresamente dentro del alcance del Proyecto. Asimismo, se excluye en esta etapa el desarrollo de un motor avanzado de plantillas dinámicas o editables por cliente, naviera o jurisdicción.</w:t>
      </w:r>
    </w:p>
    <w:p>
      <w:pPr>
        <w:pStyle w:val="ListParagraph"/>
        <w:numPr>
          <w:ilvl w:val="0"/>
          <w:numId w:val="2"/>
        </w:numPr>
        <w:spacing w:after="100"/>
        <w:jc w:val="both"/>
      </w:pPr>
      <w:r>
        <w:rPr>
          <w:rFonts w:ascii="Calibri" w:cs="Calibri" w:eastAsia="Calibri" w:hAnsi="Calibri"/>
        </w:rPr>
        <w:t xml:space="preserve">Extracción documental completamente autónoma y sin validación humana sobre formatos, estructuras o tipos documentales distintos de aquellos definidos o validados para el Proyecto. Esta exclusión no comprende la extracción asistida y automatizada desde BL, facturas y liquidaciones necesaria para alimentar los tres métodos comparativos de cálculo de pérdida incluidos en el alcance contratado.</w:t>
      </w:r>
    </w:p>
    <w:p>
      <w:pPr>
        <w:pStyle w:val="ListParagraph"/>
        <w:numPr>
          <w:ilvl w:val="0"/>
          <w:numId w:val="2"/>
        </w:numPr>
        <w:spacing w:after="100"/>
        <w:jc w:val="both"/>
      </w:pPr>
      <w:r>
        <w:rPr>
          <w:rFonts w:ascii="Calibri" w:cs="Calibri" w:eastAsia="Calibri" w:hAnsi="Calibri"/>
        </w:rPr>
        <w:t xml:space="preserve">Soporte para monedas adicionales a USD y CLP, con integración a fuentes externas de tipo de cambio.</w:t>
      </w:r>
    </w:p>
    <w:p>
      <w:pPr>
        <w:pStyle w:val="ListParagraph"/>
        <w:numPr>
          <w:ilvl w:val="0"/>
          <w:numId w:val="2"/>
        </w:numPr>
        <w:spacing w:after="100"/>
        <w:jc w:val="both"/>
      </w:pPr>
      <w:r>
        <w:rPr>
          <w:rFonts w:ascii="Calibri" w:cs="Calibri" w:eastAsia="Calibri" w:hAnsi="Calibri"/>
        </w:rPr>
        <w:t xml:space="preserve">Solicitudes documentales automáticas por correo, jurisdicciones adicionales, agrupación de casos por nave/viaje.</w:t>
      </w:r>
    </w:p>
    <w:p>
      <w:pPr>
        <w:pStyle w:val="ListParagraph"/>
        <w:numPr>
          <w:ilvl w:val="0"/>
          <w:numId w:val="2"/>
        </w:numPr>
        <w:spacing w:after="100"/>
        <w:jc w:val="both"/>
      </w:pPr>
      <w:r>
        <w:rPr>
          <w:rFonts w:ascii="Calibri" w:cs="Calibri" w:eastAsia="Calibri" w:hAnsi="Calibri"/>
        </w:rPr>
        <w:t xml:space="preserve">Exportaciones, integraciones con sistemas externos de FIS Chile y perfil Inspector restringido a casos asignados.</w:t>
      </w:r>
    </w:p>
    <w:p>
      <w:pPr>
        <w:pStyle w:val="ListParagraph"/>
        <w:numPr>
          <w:ilvl w:val="0"/>
          <w:numId w:val="2"/>
        </w:numPr>
        <w:spacing w:after="100"/>
        <w:jc w:val="both"/>
      </w:pPr>
      <w:r>
        <w:rPr>
          <w:rFonts w:ascii="Calibri" w:cs="Calibri" w:eastAsia="Calibri" w:hAnsi="Calibri"/>
        </w:rPr>
        <w:t xml:space="preserve">Gestión judicial o extrajudicial de los casos con posterioridad al traspaso, integración informática con sistemas de Case Tracking, con Lawgistic o con el Poder Judicial, y cualquier módulo de seguimiento posterior al traspaso.</w:t>
      </w:r>
    </w:p>
    <w:p>
      <w:pPr>
        <w:pStyle w:val="ListParagraph"/>
        <w:numPr>
          <w:ilvl w:val="0"/>
          <w:numId w:val="2"/>
        </w:numPr>
        <w:spacing w:after="100"/>
        <w:jc w:val="both"/>
      </w:pPr>
      <w:r>
        <w:rPr>
          <w:rFonts w:ascii="Calibri" w:cs="Calibri" w:eastAsia="Calibri" w:hAnsi="Calibri"/>
        </w:rPr>
        <w:t xml:space="preserve">Asesoría legal o contable de cualquier naturaleza.</w:t>
      </w:r>
    </w:p>
    <w:p>
      <w:pPr>
        <w:pStyle w:val="ListParagraph"/>
        <w:numPr>
          <w:ilvl w:val="0"/>
          <w:numId w:val="2"/>
        </w:numPr>
        <w:spacing w:after="100"/>
        <w:jc w:val="both"/>
      </w:pPr>
      <w:r>
        <w:rPr>
          <w:rFonts w:ascii="Calibri" w:cs="Calibri" w:eastAsia="Calibri" w:hAnsi="Calibri"/>
        </w:rPr>
        <w:t xml:space="preserve">Licencias de software de terceros no mencionadas expresamente en este contrato.</w:t>
      </w:r>
    </w:p>
    <w:p>
      <w:pPr>
        <w:pStyle w:val="ListParagraph"/>
        <w:numPr>
          <w:ilvl w:val="0"/>
          <w:numId w:val="2"/>
        </w:numPr>
        <w:spacing w:after="100"/>
        <w:jc w:val="both"/>
      </w:pPr>
      <w:r>
        <w:rPr>
          <w:rFonts w:ascii="Calibri" w:cs="Calibri" w:eastAsia="Calibri" w:hAnsi="Calibri"/>
        </w:rPr>
        <w:t xml:space="preserve">Módulo de gestión de vacaciones, módulo de liquidaciones de cobro o facturación, Case Tracking, y herramientas de tracking u optimización de rutas de contenedores, aun cuando hayan sido conversados o demostrados en paralelo como desarrollos adicionales.</w:t>
      </w:r>
    </w:p>
    <w:p>
      <w:pPr>
        <w:pStyle w:val="ListParagraph"/>
        <w:numPr>
          <w:ilvl w:val="0"/>
          <w:numId w:val="2"/>
        </w:numPr>
        <w:spacing w:after="100"/>
        <w:jc w:val="both"/>
      </w:pPr>
      <w:r>
        <w:rPr>
          <w:rFonts w:ascii="Calibri" w:cs="Calibri" w:eastAsia="Calibri" w:hAnsi="Calibri"/>
        </w:rPr>
        <w:t xml:space="preserve">Herramientas de inteligencia artificial corporativas de uso general (incluyendo, entre otras, plataformas tipo LangDoc) o de cumplimiento normativo (compliance) no descritas expresamente en el Anexo A.</w:t>
      </w:r>
    </w:p>
    <w:p>
      <w:pPr>
        <w:spacing w:after="200" w:line="276"/>
        <w:jc w:val="both"/>
      </w:pPr>
      <w:r>
        <w:rPr>
          <w:rFonts w:ascii="Calibri" w:cs="Calibri" w:eastAsia="Calibri" w:hAnsi="Calibri"/>
        </w:rPr>
        <w:t xml:space="preserve">La importación de nuevos archivos Excel al histórico, incluida en el alcance del Proyecto, es distinta y no debe confundirse con el asistente automático de homologación de campos, validación, detección de duplicados y reversión de importaciones, ni con la importación masiva de casos activos, los cuales se encuentran excluidos de este Contrato conforme a la lista de exclusiones anterior. Este Contrato reemplaza, para todos los efectos, lo señalado en la propuesta comercial (Anexo C) respecto del alcance de la funcionalidad de importación de archivos Excel.</w:t>
      </w:r>
    </w:p>
    <w:p>
      <w:pPr>
        <w:spacing w:after="200" w:line="276"/>
        <w:jc w:val="both"/>
      </w:pPr>
      <w:r>
        <w:rPr>
          <w:rFonts w:ascii="Calibri" w:cs="Calibri" w:eastAsia="Calibri" w:hAnsi="Calibri"/>
        </w:rPr>
        <w:t xml:space="preserve">Cualquier funcionalidad no incluida en el Anexo A se considerará excluida, salvo que las Partes lo acuerden expresamente por escrito mediante una Solicitud de Cambio.</w:t>
      </w:r>
    </w:p>
    <w:p>
      <w:pPr>
        <w:pBdr>
          <w:bottom w:val="single" w:color="999999" w:sz="4" w:space="4"/>
        </w:pBdr>
        <w:spacing w:after="150" w:before="300"/>
        <w:jc w:val="left"/>
      </w:pPr>
      <w:r>
        <w:rPr>
          <w:rFonts w:ascii="Calibri" w:cs="Calibri" w:eastAsia="Calibri" w:hAnsi="Calibri"/>
          <w:b/>
          <w:bCs/>
          <w:sz w:val="24"/>
          <w:szCs w:val="24"/>
        </w:rPr>
        <w:t xml:space="preserve">CUARTO. Coordinación y gestión de cambios.</w:t>
      </w:r>
    </w:p>
    <w:p>
      <w:pPr>
        <w:spacing w:after="200" w:line="276"/>
        <w:jc w:val="both"/>
      </w:pPr>
      <w:r>
        <w:rPr>
          <w:rFonts w:ascii="Calibri" w:cs="Calibri" w:eastAsia="Calibri" w:hAnsi="Calibri"/>
          <w:b/>
          <w:bCs/>
        </w:rPr>
        <w:t xml:space="preserve">4.1. </w:t>
      </w:r>
      <w:r>
        <w:rPr>
          <w:rFonts w:ascii="Calibri" w:cs="Calibri" w:eastAsia="Calibri" w:hAnsi="Calibri"/>
        </w:rPr>
        <w:t xml:space="preserve">La coordinación operativa del proyecto se realizará mediante reuniones de avance semanales de 30 minutos por videollamada, un reporte de avance escrito al final de cada semana y una demo funcional al cierre de cada hito relevante del desarrollo.</w:t>
      </w:r>
    </w:p>
    <w:p>
      <w:pPr>
        <w:spacing w:after="200" w:line="276"/>
        <w:jc w:val="both"/>
      </w:pPr>
      <w:r>
        <w:rPr>
          <w:rFonts w:ascii="Calibri" w:cs="Calibri" w:eastAsia="Calibri" w:hAnsi="Calibri"/>
          <w:b/>
          <w:bCs/>
        </w:rPr>
        <w:t xml:space="preserve">4.2. </w:t>
      </w:r>
      <w:r>
        <w:rPr>
          <w:rFonts w:ascii="Calibri" w:cs="Calibri" w:eastAsia="Calibri" w:hAnsi="Calibri"/>
        </w:rPr>
        <w:t xml:space="preserve">Cualquier cambio de alcance respecto de lo definido en el Anexo A deberá formalizarse por escrito como “Solicitud de Cambio” y podrá implicar un ajuste del precio y del plazo, previa evaluación de impacto informada por el Proveedor y aprobada por el Cliente.</w:t>
      </w:r>
    </w:p>
    <w:p>
      <w:pPr>
        <w:pBdr>
          <w:bottom w:val="single" w:color="999999" w:sz="4" w:space="4"/>
        </w:pBdr>
        <w:spacing w:after="150" w:before="300"/>
        <w:jc w:val="left"/>
      </w:pPr>
      <w:r>
        <w:rPr>
          <w:rFonts w:ascii="Calibri" w:cs="Calibri" w:eastAsia="Calibri" w:hAnsi="Calibri"/>
          <w:b/>
          <w:bCs/>
          <w:sz w:val="24"/>
          <w:szCs w:val="24"/>
        </w:rPr>
        <w:t xml:space="preserve">QUINTO. Precio, facturación y pago.</w:t>
      </w:r>
    </w:p>
    <w:p>
      <w:pPr>
        <w:spacing w:after="200" w:line="276"/>
        <w:jc w:val="both"/>
      </w:pPr>
      <w:r>
        <w:rPr>
          <w:rFonts w:ascii="Calibri" w:cs="Calibri" w:eastAsia="Calibri" w:hAnsi="Calibri"/>
          <w:b/>
          <w:bCs/>
        </w:rPr>
        <w:t xml:space="preserve">5.1. </w:t>
      </w:r>
      <w:r>
        <w:rPr>
          <w:rFonts w:ascii="Calibri" w:cs="Calibri" w:eastAsia="Calibri" w:hAnsi="Calibri"/>
        </w:rPr>
        <w:t xml:space="preserve">El precio total del Proyecto asciende a 100 UF (cien Unidades de Fomento) más IVA, e incluye 2 (dos) meses de soporte contados desde la puesta en operación del Proyecto.</w:t>
      </w:r>
    </w:p>
    <w:p>
      <w:pPr>
        <w:spacing w:after="200" w:line="276"/>
        <w:jc w:val="both"/>
      </w:pPr>
      <w:r>
        <w:rPr>
          <w:rFonts w:ascii="Calibri" w:cs="Calibri" w:eastAsia="Calibri" w:hAnsi="Calibri"/>
          <w:b/>
          <w:bCs/>
        </w:rPr>
        <w:t xml:space="preserve">5.2. </w:t>
      </w:r>
      <w:r>
        <w:rPr>
          <w:rFonts w:ascii="Calibri" w:cs="Calibri" w:eastAsia="Calibri" w:hAnsi="Calibri"/>
        </w:rPr>
        <w:t xml:space="preserve">A contar del tercer mes, el soporte continuo tendrá un valor de 3 UF (tres Unidades de Fomento) más IVA por mes, mientras el servicio se encuentre vigente.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200"/>
        <w:gridCol w:w="2600"/>
      </w:tblGrid>
      <w:tr>
        <w:tc>
          <w:tcPr>
            <w:tcW w:type="dxa" w:w="4838"/>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Concepto</w:t>
            </w:r>
          </w:p>
        </w:tc>
        <w:tc>
          <w:tcPr>
            <w:tcW w:type="dxa" w:w="2200"/>
            <w:shd w:fill="1A1A1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Valor</w:t>
            </w:r>
          </w:p>
        </w:tc>
        <w:tc>
          <w:tcPr>
            <w:tcW w:type="dxa" w:w="2600"/>
            <w:shd w:fill="1A1A1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Oportunidad de pago</w:t>
            </w:r>
          </w:p>
        </w:tc>
      </w:tr>
      <w:tr>
        <w:tc>
          <w:tcPr>
            <w:tcW w:type="dxa" w:w="4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Desarrollo del Proyecto (Anexo A), incluye 2 meses de soporte</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 UF + IVA</w:t>
            </w:r>
          </w:p>
        </w:tc>
        <w:tc>
          <w:tcPr>
            <w:tcW w:type="dxa" w:w="2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 al firmar / 50% al aprobar la entrega</w:t>
            </w:r>
          </w:p>
        </w:tc>
      </w:tr>
      <w:tr>
        <w:tc>
          <w:tcPr>
            <w:tcW w:type="dxa" w:w="4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Soporte mensual continuo, a partir del mes 3</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 UF + IVA / mes</w:t>
            </w:r>
          </w:p>
        </w:tc>
        <w:tc>
          <w:tcPr>
            <w:tcW w:type="dxa" w:w="2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Mensual, mientras el servicio esté vigente</w:t>
            </w:r>
          </w:p>
        </w:tc>
      </w:tr>
    </w:tbl>
    <w:p>
      <w:pPr>
        <w:spacing w:after="200"/>
      </w:pPr>
    </w:p>
    <w:p>
      <w:pPr>
        <w:spacing w:after="200" w:line="276"/>
        <w:jc w:val="both"/>
      </w:pPr>
      <w:r>
        <w:rPr>
          <w:rFonts w:ascii="Calibri" w:cs="Calibri" w:eastAsia="Calibri" w:hAnsi="Calibri"/>
          <w:b/>
          <w:bCs/>
        </w:rPr>
        <w:t xml:space="preserve">5.3. </w:t>
      </w:r>
      <w:r>
        <w:rPr>
          <w:rFonts w:ascii="Calibri" w:cs="Calibri" w:eastAsia="Calibri" w:hAnsi="Calibri"/>
        </w:rPr>
        <w:t xml:space="preserve">Condiciones de pago: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800"/>
        <w:gridCol w:w="4000"/>
      </w:tblGrid>
      <w:tr>
        <w:tc>
          <w:tcPr>
            <w:tcW w:type="dxa" w:w="3838"/>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Hito</w:t>
            </w:r>
          </w:p>
        </w:tc>
        <w:tc>
          <w:tcPr>
            <w:tcW w:type="dxa" w:w="1800"/>
            <w:shd w:fill="1A1A1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Porcentaje</w:t>
            </w:r>
          </w:p>
        </w:tc>
        <w:tc>
          <w:tcPr>
            <w:tcW w:type="dxa" w:w="4000"/>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Cuándo</w:t>
            </w:r>
          </w:p>
        </w:tc>
      </w:tr>
      <w:tr>
        <w:tc>
          <w:tcPr>
            <w:tcW w:type="dxa" w:w="3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Firma de contrato / inicio del desarrollo</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 firmar</w:t>
            </w:r>
          </w:p>
        </w:tc>
      </w:tr>
      <w:tr>
        <w:tc>
          <w:tcPr>
            <w:tcW w:type="dxa" w:w="3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Entrega y puesta en operación del Proyecto</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 aprobar la entrega</w:t>
            </w:r>
          </w:p>
        </w:tc>
      </w:tr>
      <w:tr>
        <w:tc>
          <w:tcPr>
            <w:tcW w:type="dxa" w:w="3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Soporte mensual (3 UF)</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Mensual, a partir del mes 3, mientras el servicio esté vigente</w:t>
            </w:r>
          </w:p>
        </w:tc>
      </w:tr>
    </w:tbl>
    <w:p>
      <w:pPr>
        <w:spacing w:after="200"/>
      </w:pPr>
    </w:p>
    <w:p>
      <w:pPr>
        <w:spacing w:after="200" w:line="276"/>
        <w:jc w:val="both"/>
      </w:pPr>
      <w:r>
        <w:rPr>
          <w:rFonts w:ascii="Calibri" w:cs="Calibri" w:eastAsia="Calibri" w:hAnsi="Calibri"/>
          <w:b/>
          <w:bCs/>
        </w:rPr>
        <w:t xml:space="preserve">5.4. </w:t>
      </w:r>
      <w:r>
        <w:rPr>
          <w:rFonts w:ascii="Calibri" w:cs="Calibri" w:eastAsia="Calibri" w:hAnsi="Calibri"/>
        </w:rPr>
        <w:t xml:space="preserve">La facturación se emitirá conforme a los hitos anteriores, con vencimiento a 30 días desde la fecha de la factura. Los montos en UF se liquidarán en pesos chilenos según el valor de la UF vigente a la fecha de cada facturación. La mora en el pago faculta al Proveedor para suspender el funcionamiento de la Plataforma, el soporte y demás servicios operados por el Proveedor, previo aviso escrito de 5 días hábiles, sin que ello afecte la propiedad intelectual ya adquirida por la Empresa conforme a la Cláusula Décimo Primero.</w:t>
      </w:r>
    </w:p>
    <w:p>
      <w:pPr>
        <w:spacing w:after="200" w:line="276"/>
        <w:jc w:val="both"/>
      </w:pPr>
      <w:r>
        <w:rPr>
          <w:rFonts w:ascii="Calibri" w:cs="Calibri" w:eastAsia="Calibri" w:hAnsi="Calibri"/>
          <w:b/>
          <w:bCs/>
        </w:rPr>
        <w:t xml:space="preserve">5.5. Procedimiento de aceptación. </w:t>
      </w:r>
      <w:r>
        <w:rPr>
          <w:rFonts w:ascii="Calibri" w:cs="Calibri" w:eastAsia="Calibri" w:hAnsi="Calibri"/>
        </w:rPr>
        <w:t xml:space="preserve">Para efectos del pago del 50% correspondiente a la entrega y puesta en operación del Proyecto, se aplicará el siguiente procedimiento:</w:t>
      </w:r>
    </w:p>
    <w:p>
      <w:pPr>
        <w:pStyle w:val="ListParagraph"/>
        <w:numPr>
          <w:ilvl w:val="0"/>
          <w:numId w:val="2"/>
        </w:numPr>
        <w:spacing w:after="100"/>
        <w:jc w:val="both"/>
      </w:pPr>
      <w:r>
        <w:rPr>
          <w:rFonts w:ascii="Calibri" w:cs="Calibri" w:eastAsia="Calibri" w:hAnsi="Calibri"/>
        </w:rPr>
        <w:t xml:space="preserve">(a) El Proveedor notificará por escrito a la Empresa la puesta en operación del Proyecto conforme al alcance del Anexo A.</w:t>
      </w:r>
    </w:p>
    <w:p>
      <w:pPr>
        <w:pStyle w:val="ListParagraph"/>
        <w:numPr>
          <w:ilvl w:val="0"/>
          <w:numId w:val="2"/>
        </w:numPr>
        <w:spacing w:after="100"/>
        <w:jc w:val="both"/>
      </w:pPr>
      <w:r>
        <w:rPr>
          <w:rFonts w:ascii="Calibri" w:cs="Calibri" w:eastAsia="Calibri" w:hAnsi="Calibri"/>
        </w:rPr>
        <w:t xml:space="preserve">(b) La Empresa tendrá un plazo de 15 días hábiles contados desde dicha notificación para revisar la entrega y comunicar por escrito sus observaciones, las cuales deberán referirse exclusivamente a incumplimientos del alcance descrito en el Anexo A.</w:t>
      </w:r>
    </w:p>
    <w:p>
      <w:pPr>
        <w:pStyle w:val="ListParagraph"/>
        <w:numPr>
          <w:ilvl w:val="0"/>
          <w:numId w:val="2"/>
        </w:numPr>
        <w:spacing w:after="100"/>
        <w:jc w:val="both"/>
      </w:pPr>
      <w:r>
        <w:rPr>
          <w:rFonts w:ascii="Calibri" w:cs="Calibri" w:eastAsia="Calibri" w:hAnsi="Calibri"/>
        </w:rPr>
        <w:t xml:space="preserve">(c) Los defectos o errores menores que no impidan el uso funcional de los módulos comprometidos en el Anexo A no constituyen causal para negar o postergar la aceptación, y se corregirán conforme al soporte de la Cláusula Octavo.</w:t>
      </w:r>
    </w:p>
    <w:p>
      <w:pPr>
        <w:pStyle w:val="ListParagraph"/>
        <w:numPr>
          <w:ilvl w:val="0"/>
          <w:numId w:val="2"/>
        </w:numPr>
        <w:spacing w:after="100"/>
        <w:jc w:val="both"/>
      </w:pPr>
      <w:r>
        <w:rPr>
          <w:rFonts w:ascii="Calibri" w:cs="Calibri" w:eastAsia="Calibri" w:hAnsi="Calibri"/>
        </w:rPr>
        <w:t xml:space="preserve">(d) Si la Empresa formula observaciones materiales dentro del plazo, el Proveedor las corregirá dentro de un plazo razonable a convenir entre las Partes, reiniciándose un nuevo plazo de revisión de 5 días hábiles sobre las correcciones efectuadas.</w:t>
      </w:r>
    </w:p>
    <w:p>
      <w:pPr>
        <w:pStyle w:val="ListParagraph"/>
        <w:numPr>
          <w:ilvl w:val="0"/>
          <w:numId w:val="2"/>
        </w:numPr>
        <w:spacing w:after="100"/>
        <w:jc w:val="both"/>
      </w:pPr>
      <w:r>
        <w:rPr>
          <w:rFonts w:ascii="Calibri" w:cs="Calibri" w:eastAsia="Calibri" w:hAnsi="Calibri"/>
        </w:rPr>
        <w:t xml:space="preserve">(e) Transcurrido el plazo de 15 días hábiles señalado en la letra (b) sin que la Empresa formule observaciones materiales por escrito, el Proyecto se entenderá aceptado para todos los efectos de este Contrato, incluyendo la exigibilidad del pago correspondiente.</w:t>
      </w:r>
    </w:p>
    <w:p>
      <w:pPr>
        <w:pBdr>
          <w:bottom w:val="single" w:color="999999" w:sz="4" w:space="4"/>
        </w:pBdr>
        <w:spacing w:after="150" w:before="300"/>
        <w:jc w:val="left"/>
      </w:pPr>
      <w:r>
        <w:rPr>
          <w:rFonts w:ascii="Calibri" w:cs="Calibri" w:eastAsia="Calibri" w:hAnsi="Calibri"/>
          <w:b/>
          <w:bCs/>
          <w:sz w:val="24"/>
          <w:szCs w:val="24"/>
        </w:rPr>
        <w:t xml:space="preserve">SEXTO. Obligaciones del Proveedor.</w:t>
      </w:r>
    </w:p>
    <w:p>
      <w:pPr>
        <w:spacing w:after="200" w:line="276"/>
        <w:jc w:val="both"/>
      </w:pPr>
      <w:r>
        <w:rPr>
          <w:rFonts w:ascii="Calibri" w:cs="Calibri" w:eastAsia="Calibri" w:hAnsi="Calibri"/>
        </w:rPr>
        <w:t xml:space="preserve">Prestar los Servicios con diligencia profesional, mantener registro de avances, entregar la Plataforma conforme al alcance del Anexo A, garantizar disponibilidad razonable de la Plataforma durante el período de soporte incluido y resguardar la información confidencial de la Empresa, incluyendo los datos de casos utilizados durante el desarrollo.</w:t>
      </w:r>
    </w:p>
    <w:p>
      <w:pPr>
        <w:pBdr>
          <w:bottom w:val="single" w:color="999999" w:sz="4" w:space="4"/>
        </w:pBdr>
        <w:spacing w:after="150" w:before="300"/>
        <w:jc w:val="left"/>
      </w:pPr>
      <w:r>
        <w:rPr>
          <w:rFonts w:ascii="Calibri" w:cs="Calibri" w:eastAsia="Calibri" w:hAnsi="Calibri"/>
          <w:b/>
          <w:bCs/>
          <w:sz w:val="24"/>
          <w:szCs w:val="24"/>
        </w:rPr>
        <w:t xml:space="preserve">SÉPTIMO. Obligaciones de la Empresa.</w:t>
      </w:r>
    </w:p>
    <w:p>
      <w:pPr>
        <w:spacing w:after="200" w:line="276"/>
        <w:jc w:val="both"/>
      </w:pPr>
      <w:r>
        <w:rPr>
          <w:rFonts w:ascii="Calibri" w:cs="Calibri" w:eastAsia="Calibri" w:hAnsi="Calibri"/>
        </w:rPr>
        <w:t xml:space="preserve">Designar un responsable como punto de contacto para validaciones y aprobaciones durante el desarrollo, proveer accesos, credenciales y documentación necesaria en forma oportuna —incluyendo la estructura real del histórico, plantillas de documentos y reglas de prescripción vigentes—, revisar los entregables oportunamente y pagar el precio conforme a lo pactado en la Cláusula Quinto.</w:t>
      </w:r>
    </w:p>
    <w:p>
      <w:pPr>
        <w:pBdr>
          <w:bottom w:val="single" w:color="999999" w:sz="4" w:space="4"/>
        </w:pBdr>
        <w:spacing w:after="150" w:before="300"/>
        <w:jc w:val="left"/>
      </w:pPr>
      <w:r>
        <w:rPr>
          <w:rFonts w:ascii="Calibri" w:cs="Calibri" w:eastAsia="Calibri" w:hAnsi="Calibri"/>
          <w:b/>
          <w:bCs/>
          <w:sz w:val="24"/>
          <w:szCs w:val="24"/>
        </w:rPr>
        <w:t xml:space="preserve">OCTAVO. Soporte, mantención y garantía.</w:t>
      </w:r>
    </w:p>
    <w:p>
      <w:pPr>
        <w:spacing w:after="200" w:line="276"/>
        <w:jc w:val="both"/>
      </w:pPr>
      <w:r>
        <w:rPr>
          <w:rFonts w:ascii="Calibri" w:cs="Calibri" w:eastAsia="Calibri" w:hAnsi="Calibri"/>
        </w:rPr>
        <w:t xml:space="preserve">Los 2 meses de soporte incluidos en el desarrollo comienzan a contar desde la puesta en operación del Proyecto e incluyen la corrección de errores atribuibles al desarrollo y ajustes menores de configuración que no impliquen cambio de alcance. Cambios de alcance o nuevas funcionalidades se cotizarán por separado, conforme a la Cláusula Cuarto. El Proveedor garantiza el correcto funcionamiento de lo entregado durante el período de soporte incluido.</w:t>
      </w:r>
    </w:p>
    <w:p>
      <w:pPr>
        <w:spacing w:after="200" w:line="276"/>
        <w:jc w:val="both"/>
      </w:pPr>
      <w:r>
        <w:rPr>
          <w:rFonts w:ascii="Calibri" w:cs="Calibri" w:eastAsia="Calibri" w:hAnsi="Calibri"/>
        </w:rPr>
        <w:t xml:space="preserve">Los costos de operación necesarios para el funcionamiento normal de la Plataforma se encuentran incluidos en el soporte mensual de 3 UF. Un consumo excepcional fuera de lo normal, o licencias de terceros no contempladas en este Contrato, podrán generar un costo adicional, el cual será previamente informado y acordado con la Empresa.</w:t>
      </w:r>
    </w:p>
    <w:p>
      <w:pPr>
        <w:pBdr>
          <w:bottom w:val="single" w:color="999999" w:sz="4" w:space="4"/>
        </w:pBdr>
        <w:spacing w:after="150" w:before="300"/>
        <w:jc w:val="left"/>
      </w:pPr>
      <w:r>
        <w:rPr>
          <w:rFonts w:ascii="Calibri" w:cs="Calibri" w:eastAsia="Calibri" w:hAnsi="Calibri"/>
          <w:b/>
          <w:bCs/>
          <w:sz w:val="24"/>
          <w:szCs w:val="24"/>
        </w:rPr>
        <w:t xml:space="preserve">NOVENO. Confidencialidad.</w:t>
      </w:r>
    </w:p>
    <w:p>
      <w:pPr>
        <w:spacing w:after="200" w:line="276"/>
        <w:jc w:val="both"/>
      </w:pPr>
      <w:r>
        <w:rPr>
          <w:rFonts w:ascii="Calibri" w:cs="Calibri" w:eastAsia="Calibri" w:hAnsi="Calibri"/>
        </w:rPr>
        <w:t xml:space="preserve">Las Partes mantendrán estricta confidencialidad sobre toda la información intercambiada durante la ejecución del presente Contrato, incluyendo los datos de casos utilizados durante el desarrollo, obligación que se extenderá por un período de tres años después de la vigencia del Contrato. Este documento y la propuesta comercial que le dio origen son confidenciales y su distribución a terceros requiere autorización previa y por escrito de la otra Parte.</w:t>
      </w:r>
    </w:p>
    <w:p>
      <w:pPr>
        <w:pBdr>
          <w:bottom w:val="single" w:color="999999" w:sz="4" w:space="4"/>
        </w:pBdr>
        <w:spacing w:after="150" w:before="300"/>
        <w:jc w:val="left"/>
      </w:pPr>
      <w:r>
        <w:rPr>
          <w:rFonts w:ascii="Calibri" w:cs="Calibri" w:eastAsia="Calibri" w:hAnsi="Calibri"/>
          <w:b/>
          <w:bCs/>
          <w:sz w:val="24"/>
          <w:szCs w:val="24"/>
        </w:rPr>
        <w:t xml:space="preserve">DÉCIMO. Datos, seguridad y confidencialidad de la información.</w:t>
      </w:r>
    </w:p>
    <w:p>
      <w:pPr>
        <w:spacing w:after="200" w:line="276"/>
        <w:jc w:val="both"/>
      </w:pPr>
      <w:r>
        <w:rPr>
          <w:rFonts w:ascii="Calibri" w:cs="Calibri" w:eastAsia="Calibri" w:hAnsi="Calibri"/>
        </w:rPr>
        <w:t xml:space="preserve">La información y los datos contenidos en los casos de la Empresa serán tratados por el Proveedor exclusivamente para los fines de este Contrato, esto es, la clasificación documental, el cálculo de pérdida y la gestión del expediente digital, y no para ningún otro fin propio o de terceros, incluyendo el entrenamiento de modelos de inteligencia artificial de propósito general.</w:t>
      </w:r>
    </w:p>
    <w:p>
      <w:pPr>
        <w:spacing w:after="200" w:line="276"/>
        <w:jc w:val="both"/>
      </w:pPr>
      <w:r>
        <w:rPr>
          <w:rFonts w:ascii="Calibri" w:cs="Calibri" w:eastAsia="Calibri" w:hAnsi="Calibri"/>
        </w:rPr>
        <w:t xml:space="preserve">El Proveedor implementará medidas de seguridad razonables, incluyendo control de acceso por rol y respaldos periódicos de la información durante la vigencia del Contrato, utilizando proveedores externos de reconocido prestigio para el alojamiento y respaldo de dicha información. La incorporación de un proveedor externo distinto al informado inicialmente a la Empresa requerirá autorización previa y por escrito de esta última.</w:t>
      </w:r>
    </w:p>
    <w:p>
      <w:pPr>
        <w:spacing w:after="200" w:line="276"/>
        <w:jc w:val="both"/>
      </w:pPr>
      <w:r>
        <w:rPr>
          <w:rFonts w:ascii="Calibri" w:cs="Calibri" w:eastAsia="Calibri" w:hAnsi="Calibri"/>
        </w:rPr>
        <w:t xml:space="preserve">Al término del Contrato, el Proveedor devolverá o eliminará la información conforme a lo instruido por la Empresa, salvo que exista una obligación legal que exija su conservación por un período adicional. Esta devolución o eliminación es independiente de la obligación de confidencialidad establecida en la Cláusula Novena, la cual se mantiene vigente por el período allí señalado aun después de devuelta o eliminada la información, respecto de todo lo conocido por el Proveedor durante la ejecución del Contrato.</w:t>
      </w:r>
    </w:p>
    <w:p>
      <w:pPr>
        <w:pBdr>
          <w:bottom w:val="single" w:color="999999" w:sz="4" w:space="4"/>
        </w:pBdr>
        <w:spacing w:after="150" w:before="300"/>
        <w:jc w:val="left"/>
      </w:pPr>
      <w:r>
        <w:rPr>
          <w:rFonts w:ascii="Calibri" w:cs="Calibri" w:eastAsia="Calibri" w:hAnsi="Calibri"/>
          <w:b/>
          <w:bCs/>
          <w:sz w:val="24"/>
          <w:szCs w:val="24"/>
        </w:rPr>
        <w:t xml:space="preserve">DÉCIMO PRIMERO. Propiedad intelectual.</w:t>
      </w:r>
    </w:p>
    <w:p>
      <w:pPr>
        <w:spacing w:after="200" w:line="276"/>
        <w:jc w:val="both"/>
      </w:pPr>
      <w:r>
        <w:rPr>
          <w:rFonts w:ascii="Calibri" w:cs="Calibri" w:eastAsia="Calibri" w:hAnsi="Calibri"/>
          <w:b/>
          <w:bCs/>
        </w:rPr>
        <w:t xml:space="preserve">11.1. </w:t>
      </w:r>
      <w:r>
        <w:rPr>
          <w:rFonts w:ascii="Calibri" w:cs="Calibri" w:eastAsia="Calibri" w:hAnsi="Calibri"/>
        </w:rPr>
        <w:t xml:space="preserve">El código fuente y los componentes de software desarrollados específicamente para Intervent Preclaim en el marco de este Contrato serán de propiedad de la Empresa una vez completado el pago total del precio acordado en la Cláusula Quinto. Hasta dicho momento, el Proveedor conserva la propiedad intelectual sobre los mismos.</w:t>
      </w:r>
    </w:p>
    <w:p>
      <w:pPr>
        <w:spacing w:after="200" w:line="276"/>
        <w:jc w:val="both"/>
      </w:pPr>
      <w:r>
        <w:rPr>
          <w:rFonts w:ascii="Calibri" w:cs="Calibri" w:eastAsia="Calibri" w:hAnsi="Calibri"/>
          <w:b/>
          <w:bCs/>
        </w:rPr>
        <w:t xml:space="preserve">11.2. </w:t>
      </w:r>
      <w:r>
        <w:rPr>
          <w:rFonts w:ascii="Calibri" w:cs="Calibri" w:eastAsia="Calibri" w:hAnsi="Calibri"/>
        </w:rPr>
        <w:t xml:space="preserve">Quedan expresamente excluidos de la cesión señalada en el numeral 11.1 las herramientas, metodologías, componentes de software genéricos y demás elementos de propiedad preexistente del Proveedor o de terceros licenciantes, incluyendo aquellos utilizados en el desarrollo de Intervent Preclaim, los cuales el Proveedor conserva y podrá seguir utilizando y licenciando libremente. Sobre dichos elementos, en la medida en que se encuentren incorporados a la Plataforma entregada, el Proveedor otorga a la Empresa una licencia de uso perpetua, no exclusiva y sin costo adicional, limitada a operar Intervent Preclaim.</w:t>
      </w:r>
    </w:p>
    <w:p>
      <w:pPr>
        <w:spacing w:after="200" w:line="276"/>
        <w:jc w:val="both"/>
      </w:pPr>
      <w:r>
        <w:rPr>
          <w:rFonts w:ascii="Calibri" w:cs="Calibri" w:eastAsia="Calibri" w:hAnsi="Calibri"/>
          <w:b/>
          <w:bCs/>
        </w:rPr>
        <w:t xml:space="preserve">11.3. </w:t>
      </w:r>
      <w:r>
        <w:rPr>
          <w:rFonts w:ascii="Calibri" w:cs="Calibri" w:eastAsia="Calibri" w:hAnsi="Calibri"/>
        </w:rPr>
        <w:t xml:space="preserve">Ninguna de las Partes podrá ceder o licenciar a terceros elementos de propiedad de la otra Parte sin su consentimiento previo por escrito.</w:t>
      </w:r>
    </w:p>
    <w:p>
      <w:pPr>
        <w:pBdr>
          <w:bottom w:val="single" w:color="999999" w:sz="4" w:space="4"/>
        </w:pBdr>
        <w:spacing w:after="150" w:before="300"/>
        <w:jc w:val="left"/>
      </w:pPr>
      <w:r>
        <w:rPr>
          <w:rFonts w:ascii="Calibri" w:cs="Calibri" w:eastAsia="Calibri" w:hAnsi="Calibri"/>
          <w:b/>
          <w:bCs/>
          <w:sz w:val="24"/>
          <w:szCs w:val="24"/>
        </w:rPr>
        <w:t xml:space="preserve">DÉCIMO SEGUNDO. Exclusividad y no replicación de la solución.</w:t>
      </w:r>
    </w:p>
    <w:p>
      <w:pPr>
        <w:spacing w:after="200" w:line="276"/>
        <w:jc w:val="both"/>
      </w:pPr>
      <w:r>
        <w:rPr>
          <w:rFonts w:ascii="Calibri" w:cs="Calibri" w:eastAsia="Calibri" w:hAnsi="Calibri"/>
          <w:b/>
          <w:bCs/>
        </w:rPr>
        <w:t xml:space="preserve">12.1. </w:t>
      </w:r>
      <w:r>
        <w:rPr>
          <w:rFonts w:ascii="Calibri" w:cs="Calibri" w:eastAsia="Calibri" w:hAnsi="Calibri"/>
        </w:rPr>
        <w:t xml:space="preserve">El Proveedor se obliga a no replicar, adaptar, comercializar, licenciar ni ofrecer a terceros que sean competidores directos de la Empresa en el mercado de gestión y recupero de siniestros de carga dañada, la solución Intervent Preclaim desarrollada específicamente para la Empresa, en la medida en que dicha solución incorpore el conocimiento del proceso, las reglas de negocio, los flujos, plantillas, criterios de clasificación y demás elementos desarrollados a partir de la información y experiencia proporcionada por la Empresa. Esta obligación rige durante la vigencia del Contrato y por el período adicional establecido en la Cláusula 12.3.</w:t>
      </w:r>
    </w:p>
    <w:p>
      <w:pPr>
        <w:spacing w:after="200" w:line="276"/>
        <w:jc w:val="both"/>
      </w:pPr>
      <w:r>
        <w:rPr>
          <w:rFonts w:ascii="Calibri" w:cs="Calibri" w:eastAsia="Calibri" w:hAnsi="Calibri"/>
          <w:b/>
          <w:bCs/>
        </w:rPr>
        <w:t xml:space="preserve">12.2. </w:t>
      </w:r>
      <w:r>
        <w:rPr>
          <w:rFonts w:ascii="Calibri" w:cs="Calibri" w:eastAsia="Calibri" w:hAnsi="Calibri"/>
        </w:rPr>
        <w:t xml:space="preserve">Esta obligación no alcanza ni restringe el uso por parte del Proveedor de: (i) conocimientos técnicos generales y metodologías de desarrollo; (ii) tecnologías y componentes de uso genérico, incluyendo herramientas de inteligencia artificial y de reconocimiento de documentos; ni (iii) soluciones desarrolladas por el Proveedor para otros clientes, en la medida en que no repliquen sustancialmente la lógica de negocio, las reglas específicas y el know-how desarrollado exclusivamente para la Empresa en este Contrato.</w:t>
      </w:r>
    </w:p>
    <w:p>
      <w:pPr>
        <w:spacing w:after="200" w:line="276"/>
        <w:jc w:val="both"/>
      </w:pPr>
      <w:r>
        <w:rPr>
          <w:rFonts w:ascii="Calibri" w:cs="Calibri" w:eastAsia="Calibri" w:hAnsi="Calibri"/>
          <w:b/>
          <w:bCs/>
        </w:rPr>
        <w:t xml:space="preserve">12.3. </w:t>
      </w:r>
      <w:r>
        <w:rPr>
          <w:rFonts w:ascii="Calibri" w:cs="Calibri" w:eastAsia="Calibri" w:hAnsi="Calibri"/>
        </w:rPr>
        <w:t xml:space="preserve">Esta obligación de exclusividad rige mientras el presente Contrato se encuentre vigente y se mantendrá vigente por un período adicional de 24 meses contados desde el término del Contrato conforme a la Cláusula Décimo Quinto, sin perjuicio de que la obligación de confidencialidad de la Cláusula Novena continúa rigiendo por el período allí establecido.</w:t>
      </w:r>
    </w:p>
    <w:p>
      <w:pPr>
        <w:pBdr>
          <w:bottom w:val="single" w:color="999999" w:sz="4" w:space="4"/>
        </w:pBdr>
        <w:spacing w:after="150" w:before="300"/>
        <w:jc w:val="left"/>
      </w:pPr>
      <w:r>
        <w:rPr>
          <w:rFonts w:ascii="Calibri" w:cs="Calibri" w:eastAsia="Calibri" w:hAnsi="Calibri"/>
          <w:b/>
          <w:bCs/>
          <w:sz w:val="24"/>
          <w:szCs w:val="24"/>
        </w:rPr>
        <w:t xml:space="preserve">DÉCIMO TERCERO. Responsabilidad.</w:t>
      </w:r>
    </w:p>
    <w:p>
      <w:pPr>
        <w:spacing w:after="200" w:line="276"/>
        <w:jc w:val="both"/>
      </w:pPr>
      <w:r>
        <w:rPr>
          <w:rFonts w:ascii="Calibri" w:cs="Calibri" w:eastAsia="Calibri" w:hAnsi="Calibri"/>
        </w:rPr>
        <w:t xml:space="preserve">La responsabilidad del Proveedor se limita a daños directos y previsibles derivados del incumplimiento del presente Contrato. El tope máximo de responsabilidad equivale al monto efectivamente pagado por la Empresa en los últimos tres meses, salvo dolo o culpa grave del Proveedor.</w:t>
      </w:r>
    </w:p>
    <w:p>
      <w:pPr>
        <w:pBdr>
          <w:bottom w:val="single" w:color="999999" w:sz="4" w:space="4"/>
        </w:pBdr>
        <w:spacing w:after="150" w:before="300"/>
        <w:jc w:val="left"/>
      </w:pPr>
      <w:r>
        <w:rPr>
          <w:rFonts w:ascii="Calibri" w:cs="Calibri" w:eastAsia="Calibri" w:hAnsi="Calibri"/>
          <w:b/>
          <w:bCs/>
          <w:sz w:val="24"/>
          <w:szCs w:val="24"/>
        </w:rPr>
        <w:t xml:space="preserve">DÉCIMO CUARTO. Cesión y subcontratación.</w:t>
      </w:r>
    </w:p>
    <w:p>
      <w:pPr>
        <w:spacing w:after="200" w:line="276"/>
        <w:jc w:val="both"/>
      </w:pPr>
      <w:r>
        <w:rPr>
          <w:rFonts w:ascii="Calibri" w:cs="Calibri" w:eastAsia="Calibri" w:hAnsi="Calibri"/>
        </w:rPr>
        <w:t xml:space="preserve">Ninguna de las Partes podrá ceder sus derechos u obligaciones derivados del presente Contrato sin el consentimiento previo por escrito de la otra Parte. El Proveedor podrá subcontratar parte de los Servicios a terceros especializados, manteniendo siempre la responsabilidad directa ante la Empresa por la calidad y el cumplimiento del trabajo subcontratado, y sujetando a dichos terceros a las mismas obligaciones de confidencialidad establecidas en la Cláusula Novena.</w:t>
      </w:r>
    </w:p>
    <w:p>
      <w:pPr>
        <w:pBdr>
          <w:bottom w:val="single" w:color="999999" w:sz="4" w:space="4"/>
        </w:pBdr>
        <w:spacing w:after="150" w:before="300"/>
        <w:jc w:val="left"/>
      </w:pPr>
      <w:r>
        <w:rPr>
          <w:rFonts w:ascii="Calibri" w:cs="Calibri" w:eastAsia="Calibri" w:hAnsi="Calibri"/>
          <w:b/>
          <w:bCs/>
          <w:sz w:val="24"/>
          <w:szCs w:val="24"/>
        </w:rPr>
        <w:t xml:space="preserve">DÉCIMO QUINTO. Vigencia y terminación.</w:t>
      </w:r>
    </w:p>
    <w:p>
      <w:pPr>
        <w:spacing w:after="200" w:line="276"/>
        <w:jc w:val="both"/>
      </w:pPr>
      <w:r>
        <w:rPr>
          <w:rFonts w:ascii="Calibri" w:cs="Calibri" w:eastAsia="Calibri" w:hAnsi="Calibri"/>
          <w:b/>
          <w:bCs/>
        </w:rPr>
        <w:t xml:space="preserve">15.1. Etapas. </w:t>
      </w:r>
      <w:r>
        <w:rPr>
          <w:rFonts w:ascii="Calibri" w:cs="Calibri" w:eastAsia="Calibri" w:hAnsi="Calibri"/>
        </w:rPr>
        <w:t xml:space="preserve">El Contrato comprende dos etapas: (i) la Etapa de Desarrollo, que se extiende desde la firma del Contrato hasta la aceptación del Proyecto conforme al procedimiento de la Cláusula 5.5; y (ii) la Etapa de Soporte, que se extiende desde dicha aceptación mientras el servicio de soporte mensual se encuentre contratado y vigente conforme a la Cláusula Quinto.</w:t>
      </w:r>
    </w:p>
    <w:p>
      <w:pPr>
        <w:spacing w:after="200" w:line="276"/>
        <w:jc w:val="both"/>
      </w:pPr>
      <w:r>
        <w:rPr>
          <w:rFonts w:ascii="Calibri" w:cs="Calibri" w:eastAsia="Calibri" w:hAnsi="Calibri"/>
          <w:b/>
          <w:bCs/>
        </w:rPr>
        <w:t xml:space="preserve">15.2. Término durante la Etapa de Soporte. </w:t>
      </w:r>
      <w:r>
        <w:rPr>
          <w:rFonts w:ascii="Calibri" w:cs="Calibri" w:eastAsia="Calibri" w:hAnsi="Calibri"/>
        </w:rPr>
        <w:t xml:space="preserve">Una vez aceptado el Proyecto, cualquiera de las Partes podrá poner término al Contrato mediante notificación escrita con 30 días de anticipación, o de forma inmediata ante incumplimiento grave de la otra Parte no subsanado dentro de 10 días hábiles desde su notificación.</w:t>
      </w:r>
    </w:p>
    <w:p>
      <w:pPr>
        <w:spacing w:after="200" w:line="276"/>
        <w:jc w:val="both"/>
      </w:pPr>
      <w:r>
        <w:rPr>
          <w:rFonts w:ascii="Calibri" w:cs="Calibri" w:eastAsia="Calibri" w:hAnsi="Calibri"/>
          <w:b/>
          <w:bCs/>
        </w:rPr>
        <w:t xml:space="preserve">15.3. Término durante la Etapa de Desarrollo. </w:t>
      </w:r>
      <w:r>
        <w:rPr>
          <w:rFonts w:ascii="Calibri" w:cs="Calibri" w:eastAsia="Calibri" w:hAnsi="Calibri"/>
        </w:rPr>
        <w:t xml:space="preserve">Si el Proveedor pone término al Contrato de forma unilateral durante la Etapa de Desarrollo, sin que medie incumplimiento de la Empresa, deberá: (i) entregar a la Empresa el código y los avances desarrollados hasta la fecha; y (ii) devolver a la Empresa la parte del pago recibido conforme a la Cláusula 5.3 que no corresponda a trabajo efectivamente ejecutado y entregado.</w:t>
      </w:r>
    </w:p>
    <w:p>
      <w:pPr>
        <w:spacing w:after="200" w:line="276"/>
        <w:jc w:val="both"/>
      </w:pPr>
      <w:r>
        <w:rPr>
          <w:rFonts w:ascii="Calibri" w:cs="Calibri" w:eastAsia="Calibri" w:hAnsi="Calibri"/>
          <w:b/>
          <w:bCs/>
        </w:rPr>
        <w:t xml:space="preserve">15.4. Cancelación por parte de la Empresa. </w:t>
      </w:r>
      <w:r>
        <w:rPr>
          <w:rFonts w:ascii="Calibri" w:cs="Calibri" w:eastAsia="Calibri" w:hAnsi="Calibri"/>
        </w:rPr>
        <w:t xml:space="preserve">En caso de cancelación del proyecto por parte de la Empresa durante la Etapa de Desarrollo, se facturarán los entregables completados hasta la fecha de la cancelación.</w:t>
      </w:r>
    </w:p>
    <w:p>
      <w:pPr>
        <w:pBdr>
          <w:bottom w:val="single" w:color="999999" w:sz="4" w:space="4"/>
        </w:pBdr>
        <w:spacing w:after="150" w:before="300"/>
        <w:jc w:val="left"/>
      </w:pPr>
      <w:r>
        <w:rPr>
          <w:rFonts w:ascii="Calibri" w:cs="Calibri" w:eastAsia="Calibri" w:hAnsi="Calibri"/>
          <w:b/>
          <w:bCs/>
          <w:sz w:val="24"/>
          <w:szCs w:val="24"/>
        </w:rPr>
        <w:t xml:space="preserve">DÉCIMO SEXTO. Comunicaciones y notificaciones.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EMPRESA / CLIENTE</w:t>
            </w:r>
          </w:p>
        </w:tc>
        <w:tc>
          <w:tcPr>
            <w:tcW w:type="dxa" w:w="4819"/>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PROVEEDOR (NPR SpA)</w:t>
            </w:r>
          </w:p>
        </w:tc>
      </w:tr>
      <w:tr>
        <w:tc>
          <w:tcPr>
            <w:tcW w:type="dxa" w:w="4819"/>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At.: Jan Klempau Pereira</w:t>
            </w:r>
          </w:p>
        </w:tc>
        <w:tc>
          <w:tcPr>
            <w:tcW w:type="dxa" w:w="4819"/>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At.: Julio Espinoza — Gerente General</w:t>
            </w:r>
          </w:p>
        </w:tc>
      </w:tr>
      <w:tr>
        <w:tc>
          <w:tcPr>
            <w:tcW w:type="dxa" w:w="4819"/>
            <w:tcMar>
              <w:top w:type="dxa" w:w="80"/>
              <w:left w:type="dxa" w:w="100"/>
              <w:bottom w:type="dxa" w:w="80"/>
              <w:right w:type="dxa" w:w="100"/>
            </w:tcMar>
          </w:tcPr>
          <w:p>
            <w:pPr>
              <w:jc w:val="left"/>
            </w:pPr>
            <w:r>
              <w:rPr>
                <w:rFonts w:ascii="Calibri" w:cs="Calibri" w:eastAsia="Calibri" w:hAnsi="Calibri"/>
                <w:b w:val="false"/>
                <w:bCs w:val="false"/>
                <w:sz w:val="20"/>
                <w:szCs w:val="20"/>
              </w:rPr>
              <w:t xml:space="preserve">Cargo: Representante Legal</w:t>
            </w:r>
          </w:p>
        </w:tc>
        <w:tc>
          <w:tcPr>
            <w:tcW w:type="dxa" w:w="4819"/>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Email: boss@npr.cl</w:t>
            </w:r>
          </w:p>
        </w:tc>
      </w:tr>
      <w:tr>
        <w:tc>
          <w:tcPr>
            <w:tcW w:type="dxa" w:w="4819"/>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Email: ______________________</w:t>
            </w:r>
          </w:p>
        </w:tc>
        <w:tc>
          <w:tcPr>
            <w:tcW w:type="dxa" w:w="4819"/>
            <w:tcMar>
              <w:top w:type="dxa" w:w="80"/>
              <w:left w:type="dxa" w:w="100"/>
              <w:bottom w:type="dxa" w:w="80"/>
              <w:right w:type="dxa" w:w="100"/>
            </w:tcMar>
          </w:tcPr>
          <w:p>
            <w:pPr>
              <w:jc w:val="left"/>
            </w:pPr>
            <w:r>
              <w:rPr>
                <w:rFonts w:ascii="Calibri" w:cs="Calibri" w:eastAsia="Calibri" w:hAnsi="Calibri"/>
                <w:b w:val="false"/>
                <w:bCs w:val="false"/>
                <w:sz w:val="20"/>
                <w:szCs w:val="20"/>
              </w:rPr>
              <w:t xml:space="preserve"/>
            </w:r>
          </w:p>
        </w:tc>
      </w:tr>
    </w:tbl>
    <w:p>
      <w:pPr>
        <w:spacing w:after="200"/>
      </w:pPr>
    </w:p>
    <w:p>
      <w:pPr>
        <w:pBdr>
          <w:bottom w:val="single" w:color="999999" w:sz="4" w:space="4"/>
        </w:pBdr>
        <w:spacing w:after="150" w:before="300"/>
        <w:jc w:val="left"/>
      </w:pPr>
      <w:r>
        <w:rPr>
          <w:rFonts w:ascii="Calibri" w:cs="Calibri" w:eastAsia="Calibri" w:hAnsi="Calibri"/>
          <w:b/>
          <w:bCs/>
          <w:sz w:val="24"/>
          <w:szCs w:val="24"/>
        </w:rPr>
        <w:t xml:space="preserve">DÉCIMO SÉPTIMO. Ley aplicable y jurisdicción.</w:t>
      </w:r>
    </w:p>
    <w:p>
      <w:pPr>
        <w:spacing w:after="200" w:line="276"/>
        <w:jc w:val="both"/>
      </w:pPr>
      <w:r>
        <w:rPr>
          <w:rFonts w:ascii="Calibri" w:cs="Calibri" w:eastAsia="Calibri" w:hAnsi="Calibri"/>
        </w:rPr>
        <w:t xml:space="preserve">El presente Contrato se rige por las leyes de la República de Chile. Para la resolución de cualquier controversia derivada de su interpretación, cumplimiento o terminación, las Partes se someten a la jurisdicción de los tribunales ordinarios de justicia de la ciudad de Santiago de Chile.</w:t>
      </w:r>
    </w:p>
    <w:p>
      <w:pPr>
        <w:pBdr>
          <w:bottom w:val="single" w:color="999999" w:sz="4" w:space="4"/>
        </w:pBdr>
        <w:spacing w:after="150" w:before="300"/>
        <w:jc w:val="left"/>
      </w:pPr>
      <w:r>
        <w:rPr>
          <w:rFonts w:ascii="Calibri" w:cs="Calibri" w:eastAsia="Calibri" w:hAnsi="Calibri"/>
          <w:b/>
          <w:bCs/>
          <w:sz w:val="24"/>
          <w:szCs w:val="24"/>
        </w:rPr>
        <w:t xml:space="preserve">DÉCIMO OCTAVO. Personerías.</w:t>
      </w:r>
    </w:p>
    <w:p>
      <w:pPr>
        <w:spacing w:after="200" w:line="276"/>
        <w:jc w:val="both"/>
      </w:pPr>
      <w:r>
        <w:rPr>
          <w:rFonts w:ascii="Calibri" w:cs="Calibri" w:eastAsia="Calibri" w:hAnsi="Calibri"/>
        </w:rPr>
        <w:t xml:space="preserve">La personería de don Julio César Espinoza Castillo para representar a NPR SpA consta en la escritura de constitución de la sociedad de fecha 10 de junio de 2024.</w:t>
      </w:r>
    </w:p>
    <w:p>
      <w:pPr>
        <w:spacing w:after="200" w:line="276"/>
        <w:jc w:val="both"/>
      </w:pPr>
      <w:r>
        <w:rPr>
          <w:rFonts w:ascii="Calibri" w:cs="Calibri" w:eastAsia="Calibri" w:hAnsi="Calibri"/>
        </w:rPr>
        <w:t xml:space="preserve">La personería de don Jan Klempau Pereira para representar a Fruit Insurance Services Chile SpA consta en los estatutos sociales y demás antecedentes de constitución de dicha sociedad, RUT 76.589.348-8.</w:t>
      </w:r>
    </w:p>
    <w:p>
      <w:pPr>
        <w:pBdr>
          <w:bottom w:val="single" w:color="999999" w:sz="4" w:space="4"/>
        </w:pBdr>
        <w:spacing w:after="150" w:before="300"/>
        <w:jc w:val="left"/>
      </w:pPr>
      <w:r>
        <w:rPr>
          <w:rFonts w:ascii="Calibri" w:cs="Calibri" w:eastAsia="Calibri" w:hAnsi="Calibri"/>
          <w:b/>
          <w:bCs/>
          <w:sz w:val="24"/>
          <w:szCs w:val="24"/>
        </w:rPr>
        <w:t xml:space="preserve">DÉCIMO NOVENO. Firmas.</w:t>
      </w:r>
    </w:p>
    <w:p>
      <w:pPr>
        <w:spacing w:after="200" w:line="276"/>
        <w:jc w:val="both"/>
      </w:pPr>
      <w:r>
        <w:rPr>
          <w:rFonts w:ascii="Calibri" w:cs="Calibri" w:eastAsia="Calibri" w:hAnsi="Calibri"/>
        </w:rPr>
        <w:t xml:space="preserve">Se suscribe el presente Contrato en dos ejemplares de igual tenor y valor, quedando uno en poder de cada Parte. La firma electrónica es válida conforme a la Ley N° 19.799 sobre Documentos Electrónicos, Firma Electrónica y Servicios de Certificación de dicha Firma.</w:t>
      </w:r>
    </w:p>
    <w:p>
      <w:pPr>
        <w:spacing w:after="100" w:before="300"/>
      </w:pPr>
    </w:p>
    <w:p>
      <w:pPr>
        <w:spacing w:after="200" w:line="276"/>
        <w:jc w:val="both"/>
      </w:pPr>
      <w:r>
        <w:rPr>
          <w:rFonts w:ascii="Calibri" w:cs="Calibri" w:eastAsia="Calibri" w:hAnsi="Calibri"/>
          <w:b/>
          <w:bCs/>
        </w:rPr>
        <w:t xml:space="preserve">NPR SpA — p.p. Julio César Espinoza Castillo — RUT 13.225.511-3</w:t>
      </w:r>
    </w:p>
    <w:p>
      <w:pPr>
        <w:spacing w:after="200" w:line="276"/>
        <w:jc w:val="both"/>
      </w:pPr>
      <w:r>
        <w:rPr>
          <w:rFonts w:ascii="Calibri" w:cs="Calibri" w:eastAsia="Calibri" w:hAnsi="Calibri"/>
        </w:rPr>
        <w:t xml:space="preserve">Firma: _______________________________________</w:t>
      </w:r>
    </w:p>
    <w:p>
      <w:pPr>
        <w:spacing w:after="200" w:line="276"/>
        <w:jc w:val="both"/>
      </w:pPr>
      <w:r>
        <w:rPr>
          <w:rFonts w:ascii="Calibri" w:cs="Calibri" w:eastAsia="Calibri" w:hAnsi="Calibri"/>
        </w:rPr>
        <w:t xml:space="preserve">Fecha: _____ / _____ / 20_____</w:t>
      </w:r>
    </w:p>
    <w:p>
      <w:pPr>
        <w:spacing w:after="100" w:before="200"/>
      </w:pPr>
    </w:p>
    <w:p>
      <w:pPr>
        <w:spacing w:after="200" w:line="276"/>
        <w:jc w:val="both"/>
      </w:pPr>
      <w:r>
        <w:rPr>
          <w:rFonts w:ascii="Calibri" w:cs="Calibri" w:eastAsia="Calibri" w:hAnsi="Calibri"/>
          <w:b/>
          <w:bCs/>
        </w:rPr>
        <w:t xml:space="preserve">Fruit Insurance Services Chile SpA — p.p. Jan Klempau Pereira — RUT 16.592.281-6</w:t>
      </w:r>
    </w:p>
    <w:p>
      <w:pPr>
        <w:spacing w:after="200" w:line="276"/>
        <w:jc w:val="both"/>
      </w:pPr>
      <w:r>
        <w:rPr>
          <w:rFonts w:ascii="Calibri" w:cs="Calibri" w:eastAsia="Calibri" w:hAnsi="Calibri"/>
        </w:rPr>
        <w:t xml:space="preserve">Firma: _______________________________________</w:t>
      </w:r>
    </w:p>
    <w:p>
      <w:pPr>
        <w:spacing w:after="200" w:line="276"/>
        <w:jc w:val="both"/>
      </w:pPr>
      <w:r>
        <w:rPr>
          <w:rFonts w:ascii="Calibri" w:cs="Calibri" w:eastAsia="Calibri" w:hAnsi="Calibri"/>
        </w:rPr>
        <w:t xml:space="preserve">Fecha: _____ / _____ / 20_____</w:t>
      </w:r>
    </w:p>
    <w:p>
      <w:r>
        <w:br w:type="page"/>
      </w:r>
    </w:p>
    <w:p>
      <w:pPr>
        <w:spacing w:after="200"/>
        <w:jc w:val="center"/>
      </w:pPr>
      <w:r>
        <w:rPr>
          <w:rFonts w:ascii="Calibri" w:cs="Calibri" w:eastAsia="Calibri" w:hAnsi="Calibri"/>
          <w:b/>
          <w:bCs/>
          <w:sz w:val="26"/>
          <w:szCs w:val="26"/>
        </w:rPr>
        <w:t xml:space="preserve">ANEXO A — ALCANCE DEL PROYECTO Y EXCLUSIONES</w:t>
      </w:r>
    </w:p>
    <w:p>
      <w:pPr>
        <w:spacing w:after="200"/>
      </w:pPr>
    </w:p>
    <w:p>
      <w:pPr>
        <w:spacing w:after="200" w:line="276"/>
        <w:jc w:val="both"/>
      </w:pPr>
      <w:r>
        <w:rPr>
          <w:rFonts w:ascii="Calibri" w:cs="Calibri" w:eastAsia="Calibri" w:hAnsi="Calibri"/>
          <w:b/>
          <w:bCs/>
        </w:rPr>
        <w:t xml:space="preserve">Proyecto: </w:t>
      </w:r>
      <w:r>
        <w:rPr>
          <w:rFonts w:ascii="Calibri" w:cs="Calibri" w:eastAsia="Calibri" w:hAnsi="Calibri"/>
        </w:rPr>
        <w:t xml:space="preserve">Intervent Preclaim — Plataforma de gestión temprana de casos de carga dañada y recuperos.</w:t>
      </w:r>
    </w:p>
    <w:p>
      <w:pPr>
        <w:spacing w:after="200" w:line="276"/>
        <w:jc w:val="both"/>
      </w:pPr>
      <w:r>
        <w:rPr>
          <w:rFonts w:ascii="Calibri" w:cs="Calibri" w:eastAsia="Calibri" w:hAnsi="Calibri"/>
        </w:rPr>
        <w:t xml:space="preserve">Solución web diseñada para centralizar la carpeta documental de cada caso de preclaim, clasificar automáticamente los documentos, calcular la pérdida bajo métodos comparativos y generar un expediente digital trazable, listo para revisión humana y posterior traspaso a FIS o a Lawgistic.</w:t>
      </w:r>
    </w:p>
    <w:p>
      <w:pPr>
        <w:spacing w:after="100" w:before="150"/>
      </w:pPr>
      <w:r>
        <w:rPr>
          <w:rFonts w:ascii="Calibri" w:cs="Calibri" w:eastAsia="Calibri" w:hAnsi="Calibri"/>
          <w:b/>
          <w:bCs/>
          <w:sz w:val="22"/>
          <w:szCs w:val="22"/>
        </w:rPr>
        <w:t xml:space="preserve">Alcance funcional del Proyecto (MVP consolidado)</w:t>
      </w:r>
    </w:p>
    <w:p>
      <w:pPr>
        <w:pStyle w:val="ListParagraph"/>
        <w:numPr>
          <w:ilvl w:val="0"/>
          <w:numId w:val="2"/>
        </w:numPr>
        <w:spacing w:after="100"/>
        <w:jc w:val="both"/>
      </w:pPr>
      <w:r>
        <w:rPr>
          <w:rFonts w:ascii="Calibri" w:cs="Calibri" w:eastAsia="Calibri" w:hAnsi="Calibri"/>
        </w:rPr>
        <w:t xml:space="preserve">Gestión de usuarios con perfiles Handler (gestión operativa de casos), Gerente (supervisión del portafolio y reversión de estados con motivo obligatorio) y CEO/Dirección (consulta en modo de solo lectura).</w:t>
      </w:r>
    </w:p>
    <w:p>
      <w:pPr>
        <w:pStyle w:val="ListParagraph"/>
        <w:numPr>
          <w:ilvl w:val="0"/>
          <w:numId w:val="2"/>
        </w:numPr>
        <w:spacing w:after="100"/>
        <w:jc w:val="both"/>
      </w:pPr>
      <w:r>
        <w:rPr>
          <w:rFonts w:ascii="Calibri" w:cs="Calibri" w:eastAsia="Calibri" w:hAnsi="Calibri"/>
        </w:rPr>
        <w:t xml:space="preserve">Creación de casos en forma manual y por carga masiva de carpeta documental, con detección de referencias duplicadas.</w:t>
      </w:r>
    </w:p>
    <w:p>
      <w:pPr>
        <w:pStyle w:val="ListParagraph"/>
        <w:numPr>
          <w:ilvl w:val="0"/>
          <w:numId w:val="2"/>
        </w:numPr>
        <w:spacing w:after="100"/>
        <w:jc w:val="both"/>
      </w:pPr>
      <w:r>
        <w:rPr>
          <w:rFonts w:ascii="Calibri" w:cs="Calibri" w:eastAsia="Calibri" w:hAnsi="Calibri"/>
        </w:rPr>
        <w:t xml:space="preserve">Clasificación automática de documentos según los tipos definidos en la propuesta comercial (documentos de notificación y respaldo, de embarque y carga, y de inspección y calidad), incluyendo el reconocimiento de texto en documentos escaneados. La clasificación permitirá el renombrado automático de los documentos según referencia y tipo, conservando el nombre original y permitiendo corrección manual por parte del usuario. La Plataforma procesará los formatos PDF, XLSX, XLS y CSV definidos para el Proyecto.</w:t>
      </w:r>
    </w:p>
    <w:p>
      <w:pPr>
        <w:pStyle w:val="ListParagraph"/>
        <w:numPr>
          <w:ilvl w:val="0"/>
          <w:numId w:val="2"/>
        </w:numPr>
        <w:spacing w:after="100"/>
        <w:jc w:val="both"/>
      </w:pPr>
      <w:r>
        <w:rPr>
          <w:rFonts w:ascii="Calibri" w:cs="Calibri" w:eastAsia="Calibri" w:hAnsi="Calibri"/>
        </w:rPr>
        <w:t xml:space="preserve">Almacenamiento de datos operativo y control de acceso de usuarios mediante inicio de sesión, necesarios para el uso productivo del Proyecto.</w:t>
      </w:r>
    </w:p>
    <w:p>
      <w:pPr>
        <w:pStyle w:val="ListParagraph"/>
        <w:numPr>
          <w:ilvl w:val="0"/>
          <w:numId w:val="2"/>
        </w:numPr>
        <w:spacing w:after="100"/>
        <w:jc w:val="both"/>
      </w:pPr>
      <w:r>
        <w:rPr>
          <w:rFonts w:ascii="Calibri" w:cs="Calibri" w:eastAsia="Calibri" w:hAnsi="Calibri"/>
        </w:rPr>
        <w:t xml:space="preserve">Expediente digital único por caso, con datos generales, documentos disponibles y faltantes, análisis de causa, cálculo de pérdida, historial de eventos, estado actual, handler responsable y riesgo de prescripción.</w:t>
      </w:r>
    </w:p>
    <w:p>
      <w:pPr>
        <w:pStyle w:val="ListParagraph"/>
        <w:numPr>
          <w:ilvl w:val="0"/>
          <w:numId w:val="2"/>
        </w:numPr>
        <w:spacing w:after="100"/>
        <w:jc w:val="both"/>
      </w:pPr>
      <w:r>
        <w:rPr>
          <w:rFonts w:ascii="Calibri" w:cs="Calibri" w:eastAsia="Calibri" w:hAnsi="Calibri"/>
        </w:rPr>
        <w:t xml:space="preserve">Inventario documental: checklist visual de cobertura documental, porcentaje de avance, y generación automática del listado y texto para solicitar la documentación pendiente, sin envío automático por correo.</w:t>
      </w:r>
    </w:p>
    <w:p>
      <w:pPr>
        <w:pStyle w:val="ListParagraph"/>
        <w:numPr>
          <w:ilvl w:val="0"/>
          <w:numId w:val="2"/>
        </w:numPr>
        <w:spacing w:after="100"/>
        <w:jc w:val="both"/>
      </w:pPr>
      <w:r>
        <w:rPr>
          <w:rFonts w:ascii="Calibri" w:cs="Calibri" w:eastAsia="Calibri" w:hAnsi="Calibri"/>
        </w:rPr>
        <w:t xml:space="preserve">Extracción asistida y automatizada de información desde BL, facturas, liquidaciones y demás documentos definidos dentro del alcance del Proyecto, incluyendo los datos y valores necesarios para alimentar los tres métodos comparativos de cálculo de pérdida contemplados en la Plataforma. Toda información extraída deberá ser revisada y confirmada por el Handler antes de ser utilizada como dato definitivo o base del cálculo.</w:t>
      </w:r>
    </w:p>
    <w:p>
      <w:pPr>
        <w:pStyle w:val="ListParagraph"/>
        <w:numPr>
          <w:ilvl w:val="0"/>
          <w:numId w:val="2"/>
        </w:numPr>
        <w:spacing w:after="100"/>
        <w:jc w:val="both"/>
      </w:pPr>
      <w:r>
        <w:rPr>
          <w:rFonts w:ascii="Calibri" w:cs="Calibri" w:eastAsia="Calibri" w:hAnsi="Calibri"/>
        </w:rPr>
        <w:t xml:space="preserve">Análisis de causa y méritos: registro de causa de daño, causa potencial, sustento documental, conclusión del Handler y evaluación preliminar de mérito, como recomendación preliminar sujeta a revisión humana.</w:t>
      </w:r>
    </w:p>
    <w:p>
      <w:pPr>
        <w:pStyle w:val="ListParagraph"/>
        <w:numPr>
          <w:ilvl w:val="0"/>
          <w:numId w:val="2"/>
        </w:numPr>
        <w:spacing w:after="100"/>
        <w:jc w:val="both"/>
      </w:pPr>
      <w:r>
        <w:rPr>
          <w:rFonts w:ascii="Calibri" w:cs="Calibri" w:eastAsia="Calibri" w:hAnsi="Calibri"/>
        </w:rPr>
        <w:t xml:space="preserve">Generación automatizada de cartas estándar de Preclaim AoR, Harvest, LoA y claim notice, a partir de los datos disponibles en el expediente digital y de la información extraída de los documentos del caso, incluyendo BL cuando corresponda, conforme a las plantillas base entregadas o validadas por la Empresa. Las cartas generadas quedarán sujetas a revisión y aprobación del Handler antes de su utilización o emisión.</w:t>
      </w:r>
    </w:p>
    <w:p>
      <w:pPr>
        <w:pStyle w:val="ListParagraph"/>
        <w:numPr>
          <w:ilvl w:val="0"/>
          <w:numId w:val="2"/>
        </w:numPr>
        <w:spacing w:after="100"/>
        <w:jc w:val="both"/>
      </w:pPr>
      <w:r>
        <w:rPr>
          <w:rFonts w:ascii="Calibri" w:cs="Calibri" w:eastAsia="Calibri" w:hAnsi="Calibri"/>
        </w:rPr>
        <w:t xml:space="preserve">Cálculo de pérdida bajo tres métodos comparativos, en USD y CLP, incluyendo venta a firme, valor de nota de crédito y rubros adicionales, con justificación obligatoria del método elegido y bloqueo de edición tras el traspaso.</w:t>
      </w:r>
    </w:p>
    <w:p>
      <w:pPr>
        <w:pStyle w:val="ListParagraph"/>
        <w:numPr>
          <w:ilvl w:val="0"/>
          <w:numId w:val="2"/>
        </w:numPr>
        <w:spacing w:after="100"/>
        <w:jc w:val="both"/>
      </w:pPr>
      <w:r>
        <w:rPr>
          <w:rFonts w:ascii="Calibri" w:cs="Calibri" w:eastAsia="Calibri" w:hAnsi="Calibri"/>
        </w:rPr>
        <w:t xml:space="preserve">Estados del caso: datos incompletos, preclaim, documentación pendiente, cálculo completo, traspasado a FIS y traspasado a Lawgistic.</w:t>
      </w:r>
    </w:p>
    <w:p>
      <w:pPr>
        <w:pStyle w:val="ListParagraph"/>
        <w:numPr>
          <w:ilvl w:val="0"/>
          <w:numId w:val="2"/>
        </w:numPr>
        <w:spacing w:after="100"/>
        <w:jc w:val="both"/>
      </w:pPr>
      <w:r>
        <w:rPr>
          <w:rFonts w:ascii="Calibri" w:cs="Calibri" w:eastAsia="Calibri" w:hAnsi="Calibri"/>
        </w:rPr>
        <w:t xml:space="preserve">Prescripción y riesgos: fecha de prescripción, días restantes, casos vencidos, nivel de riesgo e identificación de casos sin movimiento durante el período definido por la Empresa, para las jurisdicciones de La Haya y Hamburgo contempladas en el demo aprobado.</w:t>
      </w:r>
    </w:p>
    <w:p>
      <w:pPr>
        <w:pStyle w:val="ListParagraph"/>
        <w:numPr>
          <w:ilvl w:val="0"/>
          <w:numId w:val="2"/>
        </w:numPr>
        <w:spacing w:after="100"/>
        <w:jc w:val="both"/>
      </w:pPr>
      <w:r>
        <w:rPr>
          <w:rFonts w:ascii="Calibri" w:cs="Calibri" w:eastAsia="Calibri" w:hAnsi="Calibri"/>
        </w:rPr>
        <w:t xml:space="preserve">Dashboard operativo y vista de Benchmark por handler.</w:t>
      </w:r>
    </w:p>
    <w:p>
      <w:pPr>
        <w:pStyle w:val="ListParagraph"/>
        <w:numPr>
          <w:ilvl w:val="0"/>
          <w:numId w:val="2"/>
        </w:numPr>
        <w:spacing w:after="100"/>
        <w:jc w:val="both"/>
      </w:pPr>
      <w:r>
        <w:rPr>
          <w:rFonts w:ascii="Calibri" w:cs="Calibri" w:eastAsia="Calibri" w:hAnsi="Calibri"/>
        </w:rPr>
        <w:t xml:space="preserve">Carga inicial del histórico de aproximadamente 4.240 registros en 39 hojas, entregado por la Empresa para efectos de este proyecto, con búsqueda sobre dicho histórico.</w:t>
      </w:r>
    </w:p>
    <w:p>
      <w:pPr>
        <w:pStyle w:val="ListParagraph"/>
        <w:numPr>
          <w:ilvl w:val="0"/>
          <w:numId w:val="2"/>
        </w:numPr>
        <w:spacing w:after="100"/>
        <w:jc w:val="both"/>
      </w:pPr>
      <w:r>
        <w:rPr>
          <w:rFonts w:ascii="Calibri" w:cs="Calibri" w:eastAsia="Calibri" w:hAnsi="Calibri"/>
        </w:rPr>
        <w:t xml:space="preserve">Importación de nuevos archivos Excel al histórico, conforme a la estructura ya utilizada en la carga inicial, permitiendo incorporar registros adicionales sobre la misma base, sin homologación automática de campos, validación asistida, detección de duplicados ni reversión de importaciones.</w:t>
      </w:r>
    </w:p>
    <w:p>
      <w:pPr>
        <w:pStyle w:val="ListParagraph"/>
        <w:numPr>
          <w:ilvl w:val="0"/>
          <w:numId w:val="2"/>
        </w:numPr>
        <w:spacing w:after="100"/>
        <w:jc w:val="both"/>
      </w:pPr>
      <w:r>
        <w:rPr>
          <w:rFonts w:ascii="Calibri" w:cs="Calibri" w:eastAsia="Calibri" w:hAnsi="Calibri"/>
        </w:rPr>
        <w:t xml:space="preserve">Historial, auditoría e informes: registro de cambios de estado, documentos cargados, cálculos generados, análisis confirmado, cartas generadas, usuario responsable y fecha/hora de cada evento; generación de informe de revisión y de carta de notificación a la naviera, descargables en formato texto.</w:t>
      </w:r>
    </w:p>
    <w:p>
      <w:pPr>
        <w:pStyle w:val="ListParagraph"/>
        <w:numPr>
          <w:ilvl w:val="0"/>
          <w:numId w:val="2"/>
        </w:numPr>
        <w:spacing w:after="100"/>
        <w:jc w:val="both"/>
      </w:pPr>
      <w:r>
        <w:rPr>
          <w:rFonts w:ascii="Calibri" w:cs="Calibri" w:eastAsia="Calibri" w:hAnsi="Calibri"/>
        </w:rPr>
        <w:t xml:space="preserve">Manual de usuario integrado a la Plataforma, con la descripción de roles, dashboard, gestión de casos, carga documental, clasificación, checklist, análisis, cálculos, historial, alertas, cartas y benchmark.</w:t>
      </w:r>
    </w:p>
    <w:p>
      <w:pPr>
        <w:pStyle w:val="ListParagraph"/>
        <w:numPr>
          <w:ilvl w:val="0"/>
          <w:numId w:val="2"/>
        </w:numPr>
        <w:spacing w:after="100"/>
        <w:jc w:val="both"/>
      </w:pPr>
      <w:r>
        <w:rPr>
          <w:rFonts w:ascii="Calibri" w:cs="Calibri" w:eastAsia="Calibri" w:hAnsi="Calibri"/>
        </w:rPr>
        <w:t xml:space="preserve">Traspaso de caso hacia FIS o Lawgistic, entendido como el cambio de estado que cierra el proceso de Preclaim dentro de la Plataforma y bloquea la edición posterior del cálculo, sin que ello implique integración informática con sistemas de FIS o de Lawgistic ni gestión de las etapas posteriores al traspaso.</w:t>
      </w:r>
    </w:p>
    <w:p>
      <w:pPr>
        <w:spacing w:after="100" w:before="150"/>
      </w:pPr>
      <w:r>
        <w:rPr>
          <w:rFonts w:ascii="Calibri" w:cs="Calibri" w:eastAsia="Calibri" w:hAnsi="Calibri"/>
          <w:b/>
          <w:bCs/>
          <w:sz w:val="22"/>
          <w:szCs w:val="22"/>
        </w:rPr>
        <w:t xml:space="preserve">Exclusiones (evaluación de alcance y precio independiente)</w:t>
      </w:r>
    </w:p>
    <w:p>
      <w:pPr>
        <w:pStyle w:val="ListParagraph"/>
        <w:numPr>
          <w:ilvl w:val="0"/>
          <w:numId w:val="2"/>
        </w:numPr>
        <w:spacing w:after="100"/>
        <w:jc w:val="both"/>
      </w:pPr>
      <w:r>
        <w:rPr>
          <w:rFonts w:ascii="Calibri" w:cs="Calibri" w:eastAsia="Calibri" w:hAnsi="Calibri"/>
        </w:rPr>
        <w:t xml:space="preserve">Asistente automático de homologación de campos, validación, detección de duplicados y reversión de importaciones sobre el histórico.</w:t>
      </w:r>
    </w:p>
    <w:p>
      <w:pPr>
        <w:pStyle w:val="ListParagraph"/>
        <w:numPr>
          <w:ilvl w:val="0"/>
          <w:numId w:val="2"/>
        </w:numPr>
        <w:spacing w:after="100"/>
        <w:jc w:val="both"/>
      </w:pPr>
      <w:r>
        <w:rPr>
          <w:rFonts w:ascii="Calibri" w:cs="Calibri" w:eastAsia="Calibri" w:hAnsi="Calibri"/>
        </w:rPr>
        <w:t xml:space="preserve">Importación masiva de casos activos adicionales (distinta de la importación de nuevos archivos Excel al histórico, que sí forma parte del alcance del Proyecto).</w:t>
      </w:r>
    </w:p>
    <w:p>
      <w:pPr>
        <w:pStyle w:val="ListParagraph"/>
        <w:numPr>
          <w:ilvl w:val="0"/>
          <w:numId w:val="2"/>
        </w:numPr>
        <w:spacing w:after="100"/>
        <w:jc w:val="both"/>
      </w:pPr>
      <w:r>
        <w:rPr>
          <w:rFonts w:ascii="Calibri" w:cs="Calibri" w:eastAsia="Calibri" w:hAnsi="Calibri"/>
        </w:rPr>
        <w:t xml:space="preserve">Control de permisos avanzado por perfil y gestión de accesos granular sobre el universo completo de datos históricos, más allá de la autenticación básica de usuarios del Proyecto.</w:t>
      </w:r>
    </w:p>
    <w:p>
      <w:pPr>
        <w:pStyle w:val="ListParagraph"/>
        <w:numPr>
          <w:ilvl w:val="0"/>
          <w:numId w:val="2"/>
        </w:numPr>
        <w:spacing w:after="100"/>
        <w:jc w:val="both"/>
      </w:pPr>
      <w:r>
        <w:rPr>
          <w:rFonts w:ascii="Calibri" w:cs="Calibri" w:eastAsia="Calibri" w:hAnsi="Calibri"/>
        </w:rPr>
        <w:t xml:space="preserve">Generación automática de la carta de subrogación (SUBRO), de certificados de destrucción y de otros documentos no definidos expresamente dentro del alcance del Proyecto. Asimismo, se excluye en esta etapa el desarrollo de un motor avanzado de plantillas dinámicas o editables por cliente, naviera o jurisdicción.</w:t>
      </w:r>
    </w:p>
    <w:p>
      <w:pPr>
        <w:pStyle w:val="ListParagraph"/>
        <w:numPr>
          <w:ilvl w:val="0"/>
          <w:numId w:val="2"/>
        </w:numPr>
        <w:spacing w:after="100"/>
        <w:jc w:val="both"/>
      </w:pPr>
      <w:r>
        <w:rPr>
          <w:rFonts w:ascii="Calibri" w:cs="Calibri" w:eastAsia="Calibri" w:hAnsi="Calibri"/>
        </w:rPr>
        <w:t xml:space="preserve">Extracción documental completamente autónoma y sin validación humana sobre formatos, estructuras o tipos documentales distintos de aquellos definidos o validados para el Proyecto. Esta exclusión no comprende la extracción asistida y automatizada desde BL, facturas y liquidaciones necesaria para alimentar los tres métodos comparativos de cálculo de pérdida incluidos en el alcance contratado.</w:t>
      </w:r>
    </w:p>
    <w:p>
      <w:pPr>
        <w:pStyle w:val="ListParagraph"/>
        <w:numPr>
          <w:ilvl w:val="0"/>
          <w:numId w:val="2"/>
        </w:numPr>
        <w:spacing w:after="100"/>
        <w:jc w:val="both"/>
      </w:pPr>
      <w:r>
        <w:rPr>
          <w:rFonts w:ascii="Calibri" w:cs="Calibri" w:eastAsia="Calibri" w:hAnsi="Calibri"/>
        </w:rPr>
        <w:t xml:space="preserve">Soporte para monedas adicionales a USD y CLP, con integración a fuentes externas de tipo de cambio.</w:t>
      </w:r>
    </w:p>
    <w:p>
      <w:pPr>
        <w:pStyle w:val="ListParagraph"/>
        <w:numPr>
          <w:ilvl w:val="0"/>
          <w:numId w:val="2"/>
        </w:numPr>
        <w:spacing w:after="100"/>
        <w:jc w:val="both"/>
      </w:pPr>
      <w:r>
        <w:rPr>
          <w:rFonts w:ascii="Calibri" w:cs="Calibri" w:eastAsia="Calibri" w:hAnsi="Calibri"/>
        </w:rPr>
        <w:t xml:space="preserve">Solicitudes documentales automáticas por correo, jurisdicciones adicionales, agrupación de casos por nave/viaje.</w:t>
      </w:r>
    </w:p>
    <w:p>
      <w:pPr>
        <w:pStyle w:val="ListParagraph"/>
        <w:numPr>
          <w:ilvl w:val="0"/>
          <w:numId w:val="2"/>
        </w:numPr>
        <w:spacing w:after="100"/>
        <w:jc w:val="both"/>
      </w:pPr>
      <w:r>
        <w:rPr>
          <w:rFonts w:ascii="Calibri" w:cs="Calibri" w:eastAsia="Calibri" w:hAnsi="Calibri"/>
        </w:rPr>
        <w:t xml:space="preserve">Exportaciones, integraciones con sistemas externos de FIS Chile y perfil Inspector restringido a casos asignados.</w:t>
      </w:r>
    </w:p>
    <w:p>
      <w:pPr>
        <w:pStyle w:val="ListParagraph"/>
        <w:numPr>
          <w:ilvl w:val="0"/>
          <w:numId w:val="2"/>
        </w:numPr>
        <w:spacing w:after="100"/>
        <w:jc w:val="both"/>
      </w:pPr>
      <w:r>
        <w:rPr>
          <w:rFonts w:ascii="Calibri" w:cs="Calibri" w:eastAsia="Calibri" w:hAnsi="Calibri"/>
        </w:rPr>
        <w:t xml:space="preserve">Gestión judicial o extrajudicial de los casos con posterioridad al traspaso, integración informática con sistemas de Case Tracking, con Lawgistic o con el Poder Judicial, y cualquier módulo de seguimiento posterior al traspaso.</w:t>
      </w:r>
    </w:p>
    <w:p>
      <w:pPr>
        <w:pStyle w:val="ListParagraph"/>
        <w:numPr>
          <w:ilvl w:val="0"/>
          <w:numId w:val="2"/>
        </w:numPr>
        <w:spacing w:after="100"/>
        <w:jc w:val="both"/>
      </w:pPr>
      <w:r>
        <w:rPr>
          <w:rFonts w:ascii="Calibri" w:cs="Calibri" w:eastAsia="Calibri" w:hAnsi="Calibri"/>
        </w:rPr>
        <w:t xml:space="preserve">Asesoría legal o contable de cualquier naturaleza.</w:t>
      </w:r>
    </w:p>
    <w:p>
      <w:pPr>
        <w:pStyle w:val="ListParagraph"/>
        <w:numPr>
          <w:ilvl w:val="0"/>
          <w:numId w:val="2"/>
        </w:numPr>
        <w:spacing w:after="100"/>
        <w:jc w:val="both"/>
      </w:pPr>
      <w:r>
        <w:rPr>
          <w:rFonts w:ascii="Calibri" w:cs="Calibri" w:eastAsia="Calibri" w:hAnsi="Calibri"/>
        </w:rPr>
        <w:t xml:space="preserve">Licencias de software de terceros no mencionadas expresamente en este contrato.</w:t>
      </w:r>
    </w:p>
    <w:p>
      <w:pPr>
        <w:pStyle w:val="ListParagraph"/>
        <w:numPr>
          <w:ilvl w:val="0"/>
          <w:numId w:val="2"/>
        </w:numPr>
        <w:spacing w:after="100"/>
        <w:jc w:val="both"/>
      </w:pPr>
      <w:r>
        <w:rPr>
          <w:rFonts w:ascii="Calibri" w:cs="Calibri" w:eastAsia="Calibri" w:hAnsi="Calibri"/>
        </w:rPr>
        <w:t xml:space="preserve">Módulo de gestión de vacaciones, módulo de liquidaciones de cobro o facturación, Case Tracking, y herramientas de tracking u optimización de rutas de contenedores, aun cuando hayan sido conversados o demostrados en paralelo como desarrollos adicionales.</w:t>
      </w:r>
    </w:p>
    <w:p>
      <w:pPr>
        <w:pStyle w:val="ListParagraph"/>
        <w:numPr>
          <w:ilvl w:val="0"/>
          <w:numId w:val="2"/>
        </w:numPr>
        <w:spacing w:after="100"/>
        <w:jc w:val="both"/>
      </w:pPr>
      <w:r>
        <w:rPr>
          <w:rFonts w:ascii="Calibri" w:cs="Calibri" w:eastAsia="Calibri" w:hAnsi="Calibri"/>
        </w:rPr>
        <w:t xml:space="preserve">Herramientas de inteligencia artificial corporativas de uso general (incluyendo, entre otras, plataformas tipo LangDoc) o de cumplimiento normativo (compliance) no descritas expresamente en el Anexo A.</w:t>
      </w:r>
    </w:p>
    <w:p>
      <w:pPr>
        <w:spacing w:after="200" w:line="276"/>
        <w:jc w:val="both"/>
      </w:pPr>
      <w:r>
        <w:rPr>
          <w:rFonts w:ascii="Calibri" w:cs="Calibri" w:eastAsia="Calibri" w:hAnsi="Calibri"/>
        </w:rPr>
        <w:t xml:space="preserve">Toda la información propuesta o extraída automáticamente por la Plataforma queda sujeta a confirmación del Handler; la Plataforma no presenta una evaluación automática como decisión definitiva.</w:t>
      </w:r>
    </w:p>
    <w:p>
      <w:r>
        <w:br w:type="page"/>
      </w:r>
    </w:p>
    <w:p>
      <w:pPr>
        <w:spacing w:after="200"/>
        <w:jc w:val="center"/>
      </w:pPr>
      <w:r>
        <w:rPr>
          <w:rFonts w:ascii="Calibri" w:cs="Calibri" w:eastAsia="Calibri" w:hAnsi="Calibri"/>
          <w:b/>
          <w:bCs/>
          <w:sz w:val="26"/>
          <w:szCs w:val="26"/>
        </w:rPr>
        <w:t xml:space="preserve">ANEXO B — TABLA DE PRECIOS E HITOS DE PAGO</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2200"/>
        <w:gridCol w:w="2600"/>
      </w:tblGrid>
      <w:tr>
        <w:tc>
          <w:tcPr>
            <w:tcW w:type="dxa" w:w="4838"/>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Concepto</w:t>
            </w:r>
          </w:p>
        </w:tc>
        <w:tc>
          <w:tcPr>
            <w:tcW w:type="dxa" w:w="2200"/>
            <w:shd w:fill="1A1A1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Valor</w:t>
            </w:r>
          </w:p>
        </w:tc>
        <w:tc>
          <w:tcPr>
            <w:tcW w:type="dxa" w:w="2600"/>
            <w:shd w:fill="1A1A1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Oportunidad de pago</w:t>
            </w:r>
          </w:p>
        </w:tc>
      </w:tr>
      <w:tr>
        <w:tc>
          <w:tcPr>
            <w:tcW w:type="dxa" w:w="4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Desarrollo del Proyecto (Anexo A), incluye 2 meses de soporte</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 UF + IVA</w:t>
            </w:r>
          </w:p>
        </w:tc>
        <w:tc>
          <w:tcPr>
            <w:tcW w:type="dxa" w:w="2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 al firmar / 50% al aprobar la entrega</w:t>
            </w:r>
          </w:p>
        </w:tc>
      </w:tr>
      <w:tr>
        <w:tc>
          <w:tcPr>
            <w:tcW w:type="dxa" w:w="4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Soporte mensual continuo, a partir del mes 3</w:t>
            </w:r>
          </w:p>
        </w:tc>
        <w:tc>
          <w:tcPr>
            <w:tcW w:type="dxa" w:w="22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 UF + IVA / mes</w:t>
            </w:r>
          </w:p>
        </w:tc>
        <w:tc>
          <w:tcPr>
            <w:tcW w:type="dxa" w:w="26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Mensual, mientras el servicio esté vigente</w:t>
            </w:r>
          </w:p>
        </w:tc>
      </w:tr>
    </w:tbl>
    <w:p>
      <w:pPr>
        <w:spacing w:after="300"/>
      </w:pPr>
    </w:p>
    <w:p>
      <w:pPr>
        <w:spacing w:after="100" w:before="150"/>
      </w:pPr>
      <w:r>
        <w:rPr>
          <w:rFonts w:ascii="Calibri" w:cs="Calibri" w:eastAsia="Calibri" w:hAnsi="Calibri"/>
          <w:b/>
          <w:bCs/>
          <w:sz w:val="22"/>
          <w:szCs w:val="22"/>
        </w:rPr>
        <w:t xml:space="preserve">Hitos de pago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38"/>
        <w:gridCol w:w="1800"/>
        <w:gridCol w:w="4000"/>
      </w:tblGrid>
      <w:tr>
        <w:tc>
          <w:tcPr>
            <w:tcW w:type="dxa" w:w="3838"/>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Hito</w:t>
            </w:r>
          </w:p>
        </w:tc>
        <w:tc>
          <w:tcPr>
            <w:tcW w:type="dxa" w:w="1800"/>
            <w:shd w:fill="1A1A1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Porcentaje</w:t>
            </w:r>
          </w:p>
        </w:tc>
        <w:tc>
          <w:tcPr>
            <w:tcW w:type="dxa" w:w="4000"/>
            <w:shd w:fill="1A1A1A"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Cuándo</w:t>
            </w:r>
          </w:p>
        </w:tc>
      </w:tr>
      <w:tr>
        <w:tc>
          <w:tcPr>
            <w:tcW w:type="dxa" w:w="3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Firma de contrato / inicio del desarrollo</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 firmar</w:t>
            </w:r>
          </w:p>
        </w:tc>
      </w:tr>
      <w:tr>
        <w:tc>
          <w:tcPr>
            <w:tcW w:type="dxa" w:w="3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Entrega y puesta en operación del Proyecto</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50%</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Al aprobar la entrega</w:t>
            </w:r>
          </w:p>
        </w:tc>
      </w:tr>
      <w:tr>
        <w:tc>
          <w:tcPr>
            <w:tcW w:type="dxa" w:w="3838"/>
            <w:tcMar>
              <w:top w:type="dxa" w:w="80"/>
              <w:left w:type="dxa" w:w="100"/>
              <w:bottom w:type="dxa" w:w="80"/>
              <w:right w:type="dxa" w:w="100"/>
            </w:tcMar>
          </w:tcPr>
          <w:p>
            <w:pPr>
              <w:jc w:val="left"/>
            </w:pPr>
            <w:r>
              <w:rPr>
                <w:rFonts w:ascii="Calibri" w:cs="Calibri" w:eastAsia="Calibri" w:hAnsi="Calibri"/>
                <w:b w:val="false"/>
                <w:bCs w:val="false"/>
                <w:sz w:val="20"/>
                <w:szCs w:val="20"/>
              </w:rPr>
              <w:t xml:space="preserve">Soporte mensual (3 UF)</w:t>
            </w:r>
          </w:p>
        </w:tc>
        <w:tc>
          <w:tcPr>
            <w:tcW w:type="dxa" w:w="1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100%</w:t>
            </w:r>
          </w:p>
        </w:tc>
        <w:tc>
          <w:tcPr>
            <w:tcW w:type="dxa" w:w="4000"/>
            <w:tcMar>
              <w:top w:type="dxa" w:w="80"/>
              <w:left w:type="dxa" w:w="100"/>
              <w:bottom w:type="dxa" w:w="80"/>
              <w:right w:type="dxa" w:w="100"/>
            </w:tcMar>
          </w:tcPr>
          <w:p>
            <w:pPr>
              <w:jc w:val="left"/>
            </w:pPr>
            <w:r>
              <w:rPr>
                <w:rFonts w:ascii="Calibri" w:cs="Calibri" w:eastAsia="Calibri" w:hAnsi="Calibri"/>
                <w:b w:val="false"/>
                <w:bCs w:val="false"/>
                <w:sz w:val="20"/>
                <w:szCs w:val="20"/>
              </w:rPr>
              <w:t xml:space="preserve">Mensual, a partir del mes 3, mientras el servicio esté vigente</w:t>
            </w:r>
          </w:p>
        </w:tc>
      </w:tr>
    </w:tbl>
    <w:p>
      <w:pPr>
        <w:spacing w:after="200"/>
      </w:pPr>
    </w:p>
    <w:p>
      <w:pPr>
        <w:spacing w:after="200" w:line="276"/>
        <w:jc w:val="both"/>
      </w:pPr>
      <w:r>
        <w:rPr>
          <w:rFonts w:ascii="Calibri" w:cs="Calibri" w:eastAsia="Calibri" w:hAnsi="Calibri"/>
        </w:rPr>
        <w:t xml:space="preserve">Precios expresados en Unidades de Fomento (UF), más IVA según corresponda. Los montos se liquidan en pesos chilenos según el valor de la UF vigente a la fecha de cada facturación.</w:t>
      </w:r>
    </w:p>
    <w:p>
      <w:r>
        <w:br w:type="page"/>
      </w:r>
    </w:p>
    <w:p>
      <w:pPr>
        <w:spacing w:after="200"/>
        <w:jc w:val="center"/>
      </w:pPr>
      <w:r>
        <w:rPr>
          <w:rFonts w:ascii="Calibri" w:cs="Calibri" w:eastAsia="Calibri" w:hAnsi="Calibri"/>
          <w:b/>
          <w:bCs/>
          <w:sz w:val="26"/>
          <w:szCs w:val="26"/>
        </w:rPr>
        <w:t xml:space="preserve">ANEXO C — PROPUESTA COMERCIAL</w:t>
      </w:r>
    </w:p>
    <w:p>
      <w:pPr>
        <w:spacing w:after="200"/>
      </w:pPr>
    </w:p>
    <w:p>
      <w:pPr>
        <w:spacing w:after="200" w:line="276"/>
        <w:jc w:val="both"/>
      </w:pPr>
      <w:r>
        <w:rPr>
          <w:rFonts w:ascii="Calibri" w:cs="Calibri" w:eastAsia="Calibri" w:hAnsi="Calibri"/>
        </w:rPr>
        <w:t xml:space="preserve">El Anexo C corresponde a la propuesta comercial “Intervent Preclaim — Plataforma de gestión temprana de casos de carga dañada y recuperos”, preparada por NPR &amp; Humadis para FIS Chile, de fecha 24 de agosto de 2026, versión v1.0, la cual se adjunta como documento separado a este Contrato.</w:t>
      </w:r>
    </w:p>
    <w:p>
      <w:pPr>
        <w:spacing w:after="200" w:line="276"/>
        <w:jc w:val="both"/>
      </w:pPr>
      <w:r>
        <w:rPr>
          <w:rFonts w:ascii="Calibri" w:cs="Calibri" w:eastAsia="Calibri" w:hAnsi="Calibri"/>
        </w:rPr>
        <w:t xml:space="preserve">El Anexo C tiene valor referencial e ilustrativo de la solución propuesta y del contexto comercial que dio origen a este Contrato. En caso de contradicción o ambigüedad respecto de lo establecido en el cuerpo de este Contrato o en el Anexo A, prevalecerán estos últimos conforme al orden de prelación establecido en la Cláusula 1.4.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2026-09-10T11:14:54.801Z</dcterms:created>
  <dcterms:modified xsi:type="dcterms:W3CDTF">2026-09-10T11:14:54.811Z</dcterms:modified>
</cp:coreProperties>
</file>

<file path=docProps/custom.xml><?xml version="1.0" encoding="utf-8"?>
<Properties xmlns="http://schemas.openxmlformats.org/officeDocument/2006/custom-properties" xmlns:vt="http://schemas.openxmlformats.org/officeDocument/2006/docPropsVTypes"/>
</file>