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40"/>
      </w:pPr>
      <w:r>
        <w:rPr>
          <w:rFonts w:ascii="Aptos" w:hAnsi="Aptos"/>
          <w:b/>
          <w:i w:val="0"/>
          <w:color w:val="0B7F82"/>
          <w:sz w:val="20"/>
        </w:rPr>
        <w:t>INTERVENT PRECLAIM</w:t>
      </w:r>
    </w:p>
    <w:p>
      <w:pPr>
        <w:pStyle w:val="Title"/>
        <w:spacing w:after="160"/>
      </w:pPr>
      <w:r>
        <w:rPr>
          <w:rFonts w:ascii="Aptos" w:hAnsi="Aptos"/>
          <w:b/>
          <w:i w:val="0"/>
          <w:color w:val="182A46"/>
          <w:sz w:val="52"/>
        </w:rPr>
        <w:t>Documento Funcional de Revisión</w:t>
      </w:r>
    </w:p>
    <w:p>
      <w:pPr>
        <w:pStyle w:val="Subtitle"/>
        <w:spacing w:after="520"/>
      </w:pPr>
      <w:r>
        <w:rPr>
          <w:rFonts w:ascii="Aptos" w:hAnsi="Aptos"/>
          <w:b w:val="0"/>
          <w:i w:val="0"/>
          <w:color w:val="182A46"/>
          <w:sz w:val="26"/>
        </w:rPr>
        <w:t>Base para contraste con la información operativa de Sauvalle</w:t>
      </w:r>
    </w:p>
    <w:tbl>
      <w:tblPr>
        <w:tblStyle w:val="TableGrid"/>
        <w:tblW w:type="auto" w:w="0"/>
        <w:jc w:val="left"/>
        <w:tblLayout w:type="fixed"/>
        <w:tblLook w:firstColumn="1" w:firstRow="1" w:lastColumn="0" w:lastRow="0" w:noHBand="0" w:noVBand="1" w:val="04A0"/>
      </w:tblPr>
      <w:tblGrid>
        <w:gridCol w:w="5141"/>
        <w:gridCol w:w="5141"/>
      </w:tblGrid>
      <w:tr>
        <w:tc>
          <w:tcPr>
            <w:tcW w:type="dxa" w:w="1800"/>
            <w:vAlign w:val="center"/>
            <w:tcMar>
              <w:top w:w="100" w:type="dxa"/>
              <w:start w:w="130" w:type="dxa"/>
              <w:bottom w:w="100" w:type="dxa"/>
              <w:end w:w="130" w:type="dxa"/>
            </w:tcMar>
            <w:shd w:fill="EAF6F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0B7F82"/>
                <w:sz w:val="18"/>
              </w:rPr>
              <w:t>Destinatario</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Rodrigo Sauvalle y equipo FIS</w:t>
            </w:r>
          </w:p>
        </w:tc>
      </w:tr>
      <w:tr>
        <w:tc>
          <w:tcPr>
            <w:tcW w:type="dxa" w:w="1800"/>
            <w:vAlign w:val="center"/>
            <w:tcMar>
              <w:top w:w="100" w:type="dxa"/>
              <w:start w:w="130" w:type="dxa"/>
              <w:bottom w:w="100" w:type="dxa"/>
              <w:end w:w="130" w:type="dxa"/>
            </w:tcMar>
            <w:shd w:fill="EAF6F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0B7F82"/>
                <w:sz w:val="18"/>
              </w:rPr>
              <w:t>Propósito</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Validar que el modelo funcional representa el proceso Preclaim contratado</w:t>
            </w:r>
          </w:p>
        </w:tc>
      </w:tr>
      <w:tr>
        <w:tc>
          <w:tcPr>
            <w:tcW w:type="dxa" w:w="1800"/>
            <w:vAlign w:val="center"/>
            <w:tcMar>
              <w:top w:w="100" w:type="dxa"/>
              <w:start w:w="130" w:type="dxa"/>
              <w:bottom w:w="100" w:type="dxa"/>
              <w:end w:w="130" w:type="dxa"/>
            </w:tcMar>
            <w:shd w:fill="EAF6F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0B7F82"/>
                <w:sz w:val="18"/>
              </w:rPr>
              <w:t>Fuentes</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Contrato NPR FIS Chile v6.0, reuniones de trabajo y demo funcional</w:t>
            </w:r>
          </w:p>
        </w:tc>
      </w:tr>
      <w:tr>
        <w:tc>
          <w:tcPr>
            <w:tcW w:type="dxa" w:w="1800"/>
            <w:vAlign w:val="center"/>
            <w:tcMar>
              <w:top w:w="100" w:type="dxa"/>
              <w:start w:w="130" w:type="dxa"/>
              <w:bottom w:w="100" w:type="dxa"/>
              <w:end w:w="130" w:type="dxa"/>
            </w:tcMar>
            <w:shd w:fill="EAF6F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0B7F82"/>
                <w:sz w:val="18"/>
              </w:rPr>
              <w:t>Estado</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Versión de revisión, sujeta a observaciones de negocio</w:t>
            </w:r>
          </w:p>
        </w:tc>
      </w:tr>
    </w:tbl>
    <w:p>
      <w:pPr>
        <w:pStyle w:val="BodyText"/>
        <w:spacing w:before="0" w:after="200" w:line="269" w:lineRule="auto"/>
      </w:pPr>
    </w:p>
    <w:p>
      <w:pPr>
        <w:pStyle w:val="BodyText"/>
        <w:spacing w:before="360" w:after="160" w:line="269" w:lineRule="auto"/>
      </w:pPr>
      <w:r>
        <w:rPr>
          <w:rFonts w:ascii="Aptos" w:hAnsi="Aptos"/>
          <w:b/>
          <w:i w:val="0"/>
          <w:color w:val="0B7F82"/>
          <w:sz w:val="21"/>
        </w:rPr>
        <w:t xml:space="preserve">Objetivo de la revisión. </w:t>
      </w:r>
      <w:r>
        <w:rPr>
          <w:rFonts w:ascii="Aptos" w:hAnsi="Aptos"/>
          <w:b w:val="0"/>
          <w:i w:val="0"/>
          <w:color w:val="182A46"/>
          <w:sz w:val="21"/>
        </w:rPr>
        <w:t>Este documento describe qué debería hacer Intervent Preclaim, cómo se relaciona con el contrato y qué parte se encuentra demostrada en el prototipo. La revisión solicitada a Sauvalle busca confirmar reglas, datos, fórmulas, formatos y límites del proceso antes de considerar el alcance como definitivo.</w:t>
      </w:r>
    </w:p>
    <w:p>
      <w:pPr>
        <w:pStyle w:val="BodyText"/>
        <w:spacing w:before="0" w:after="160" w:line="269" w:lineRule="auto"/>
      </w:pPr>
      <w:r>
        <w:rPr>
          <w:rFonts w:ascii="Aptos" w:hAnsi="Aptos"/>
          <w:b/>
          <w:i w:val="0"/>
          <w:color w:val="0B7F82"/>
          <w:sz w:val="21"/>
        </w:rPr>
        <w:t xml:space="preserve">Criterio de lectura. </w:t>
      </w:r>
      <w:r>
        <w:rPr>
          <w:rFonts w:ascii="Aptos" w:hAnsi="Aptos"/>
          <w:b w:val="0"/>
          <w:i w:val="0"/>
          <w:color w:val="182A46"/>
          <w:sz w:val="21"/>
        </w:rPr>
        <w:t>Lo contratado es la referencia principal. Las capacidades adicionales visibles en el demo se identifican como evolución o punto de validación y no deben interpretarse automáticamente como obligaciones contractuales.</w:t>
      </w:r>
    </w:p>
    <w:p>
      <w:r>
        <w:br w:type="page"/>
      </w:r>
    </w:p>
    <w:p>
      <w:pPr>
        <w:pStyle w:val="Heading1"/>
        <w:keepNext/>
        <w:spacing w:before="300" w:after="100"/>
      </w:pPr>
      <w:r>
        <w:rPr>
          <w:rFonts w:ascii="Aptos" w:hAnsi="Aptos"/>
          <w:b/>
          <w:i w:val="0"/>
          <w:color w:val="182A46"/>
          <w:sz w:val="30"/>
        </w:rPr>
        <w:t>1 Propósito y alcance del documento</w:t>
      </w:r>
    </w:p>
    <w:p>
      <w:pPr>
        <w:pStyle w:val="BodyText"/>
        <w:spacing w:before="0" w:after="140" w:line="269" w:lineRule="auto"/>
      </w:pPr>
      <w:r>
        <w:rPr>
          <w:rFonts w:ascii="Aptos" w:hAnsi="Aptos"/>
          <w:b w:val="0"/>
          <w:i w:val="0"/>
          <w:color w:val="182A46"/>
          <w:sz w:val="21"/>
        </w:rPr>
        <w:t>La finalidad de este documento es servir como base común de revisión entre el equipo que está construyendo el demo y Sauvalle. Describe el flujo funcional de Preclaim desde el ingreso de una carpeta documental hasta la recomendación de pérdida y el traspaso del caso a FIS o Lawgistic.</w:t>
      </w:r>
    </w:p>
    <w:p>
      <w:pPr>
        <w:pStyle w:val="BodyText"/>
        <w:spacing w:before="0" w:after="140" w:line="269" w:lineRule="auto"/>
      </w:pPr>
      <w:r>
        <w:rPr>
          <w:rFonts w:ascii="Aptos" w:hAnsi="Aptos"/>
          <w:b w:val="0"/>
          <w:i w:val="0"/>
          <w:color w:val="182A46"/>
          <w:sz w:val="21"/>
        </w:rPr>
        <w:t>No reemplaza el contrato, sus anexos ni una eventual solicitud de cambio. Cuando existe una diferencia entre la funcionalidad deseada y el alcance contractual, se deja visible para que pueda resolverse con una decisión de negocio y, si corresponde, con un Change Request que explicite impacto de plazo y precio.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Estado de lectura</w:t>
            </w:r>
          </w:p>
        </w:tc>
        <w:tc>
          <w:tcPr>
            <w:tcW w:type="dxa" w:w="7992"/>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Significado en este documento</w:t>
            </w:r>
          </w:p>
        </w:tc>
      </w:tr>
      <w:tr>
        <w:trPr>
          <w:cantSplit/>
        </w:trPr>
        <w:tc>
          <w:tcPr>
            <w:tcW w:type="dxa" w:w="22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Contratado</w:t>
            </w:r>
          </w:p>
        </w:tc>
        <w:tc>
          <w:tcPr>
            <w:tcW w:type="dxa" w:w="79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Incluido o descrito en el alcance contractual vigente y sujeto a las reglas de aceptación del contrato.</w:t>
            </w:r>
          </w:p>
        </w:tc>
      </w:tr>
      <w:tr>
        <w:trPr>
          <w:cantSplit/>
        </w:trPr>
        <w:tc>
          <w:tcPr>
            <w:tcW w:type="dxa" w:w="22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Demo actual</w:t>
            </w:r>
          </w:p>
        </w:tc>
        <w:tc>
          <w:tcPr>
            <w:tcW w:type="dxa" w:w="79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Comportamiento disponible en el prototipo para revisión visual y funcional. Puede usar datos simulados, localStorage o reglas heurísticas.</w:t>
            </w:r>
          </w:p>
        </w:tc>
      </w:tr>
      <w:tr>
        <w:trPr>
          <w:cantSplit/>
        </w:trPr>
        <w:tc>
          <w:tcPr>
            <w:tcW w:type="dxa" w:w="22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Por validar</w:t>
            </w:r>
          </w:p>
        </w:tc>
        <w:tc>
          <w:tcPr>
            <w:tcW w:type="dxa" w:w="79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Regla o dato que necesita confirmación de Sauvalle para considerarse correcto.</w:t>
            </w:r>
          </w:p>
        </w:tc>
      </w:tr>
      <w:tr>
        <w:trPr>
          <w:cantSplit/>
        </w:trPr>
        <w:tc>
          <w:tcPr>
            <w:tcW w:type="dxa" w:w="22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Evolución</w:t>
            </w:r>
          </w:p>
        </w:tc>
        <w:tc>
          <w:tcPr>
            <w:tcW w:type="dxa" w:w="79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Capacidad solicitada posteriormente o visible en el demo, pero que el contrato identifica como fuera de alcance o que requiere definición adicional.</w:t>
            </w:r>
          </w:p>
        </w:tc>
      </w:tr>
    </w:tbl>
    <w:p>
      <w:pPr>
        <w:spacing w:after="20"/>
      </w:pPr>
    </w:p>
    <w:p>
      <w:pPr>
        <w:pStyle w:val="Heading1"/>
        <w:keepNext/>
        <w:spacing w:before="300" w:after="100"/>
      </w:pPr>
      <w:r>
        <w:rPr>
          <w:rFonts w:ascii="Aptos" w:hAnsi="Aptos"/>
          <w:b/>
          <w:i w:val="0"/>
          <w:color w:val="182A46"/>
          <w:sz w:val="30"/>
        </w:rPr>
        <w:t>2 Contexto operativo entendido</w:t>
      </w:r>
    </w:p>
    <w:p>
      <w:pPr>
        <w:pStyle w:val="BodyText"/>
        <w:spacing w:before="0" w:after="120" w:line="269" w:lineRule="auto"/>
      </w:pPr>
      <w:r>
        <w:rPr>
          <w:rFonts w:ascii="Aptos" w:hAnsi="Aptos"/>
          <w:b w:val="0"/>
          <w:i w:val="0"/>
          <w:color w:val="182A46"/>
          <w:sz w:val="21"/>
        </w:rPr>
        <w:t>El proceso actual recibe antecedentes desde distintas fuentes, incluyendo plataformas de seguro, correos, planillas y carpetas documentales. El equipo debe revisar si existe un caso recuperable, ordenar los documentos, completar los datos operativos, identificar faltantes, estimar la pérdida y preparar el traspaso a la etapa de recupero.</w:t>
      </w:r>
    </w:p>
    <w:p>
      <w:pPr>
        <w:pStyle w:val="ListBullet"/>
        <w:spacing w:after="60" w:line="259" w:lineRule="auto"/>
      </w:pPr>
      <w:r>
        <w:rPr>
          <w:rFonts w:ascii="Aptos" w:hAnsi="Aptos"/>
          <w:b w:val="0"/>
          <w:i w:val="0"/>
          <w:color w:val="182A46"/>
          <w:sz w:val="20"/>
        </w:rPr>
        <w:t>La referencia del caso y su relación con naviera, viaje, contenedor y fechas son claves para evitar duplicidad y permitir seguimiento.</w:t>
      </w:r>
    </w:p>
    <w:p>
      <w:pPr>
        <w:pStyle w:val="ListBullet"/>
        <w:spacing w:after="60" w:line="259" w:lineRule="auto"/>
      </w:pPr>
      <w:r>
        <w:rPr>
          <w:rFonts w:ascii="Aptos" w:hAnsi="Aptos"/>
          <w:b w:val="0"/>
          <w:i w:val="0"/>
          <w:color w:val="182A46"/>
          <w:sz w:val="20"/>
        </w:rPr>
        <w:t>Los antecedentes se encuentran en formatos heterogéneos y parte de la información se consulta o copia manualmente.</w:t>
      </w:r>
    </w:p>
    <w:p>
      <w:pPr>
        <w:pStyle w:val="ListBullet"/>
        <w:spacing w:after="60" w:line="259" w:lineRule="auto"/>
      </w:pPr>
      <w:r>
        <w:rPr>
          <w:rFonts w:ascii="Aptos" w:hAnsi="Aptos"/>
          <w:b w:val="0"/>
          <w:i w:val="0"/>
          <w:color w:val="182A46"/>
          <w:sz w:val="20"/>
        </w:rPr>
        <w:t>La revisión de mérito, causa y cálculo requiere criterio del handler; el sistema debe asistir y dejar trazabilidad, no sustituir la aprobación humana.</w:t>
      </w:r>
    </w:p>
    <w:p>
      <w:pPr>
        <w:pStyle w:val="ListBullet"/>
        <w:spacing w:after="60" w:line="259" w:lineRule="auto"/>
      </w:pPr>
      <w:r>
        <w:rPr>
          <w:rFonts w:ascii="Aptos" w:hAnsi="Aptos"/>
          <w:b w:val="0"/>
          <w:i w:val="0"/>
          <w:color w:val="182A46"/>
          <w:sz w:val="20"/>
        </w:rPr>
        <w:t>El resultado esperado es un expediente ordenado, con documentos disponibles y faltantes identificados, cálculo sustentado y una decisión clara sobre el siguiente equipo responsable.</w:t>
      </w:r>
    </w:p>
    <w:p>
      <w:r>
        <w:br w:type="page"/>
      </w:r>
    </w:p>
    <w:p>
      <w:pPr>
        <w:pStyle w:val="Heading1"/>
        <w:keepNext/>
        <w:spacing w:before="300" w:after="100"/>
      </w:pPr>
      <w:r>
        <w:rPr>
          <w:rFonts w:ascii="Aptos" w:hAnsi="Aptos"/>
          <w:b/>
          <w:i w:val="0"/>
          <w:color w:val="182A46"/>
          <w:sz w:val="30"/>
        </w:rPr>
        <w:t>3 Resultado esperado</w:t>
      </w:r>
    </w:p>
    <w:p>
      <w:pPr>
        <w:pStyle w:val="BodyText"/>
        <w:spacing w:before="0" w:after="120" w:line="269" w:lineRule="auto"/>
      </w:pPr>
      <w:r>
        <w:rPr>
          <w:rFonts w:ascii="Aptos" w:hAnsi="Aptos"/>
          <w:b w:val="0"/>
          <w:i w:val="0"/>
          <w:color w:val="182A46"/>
          <w:sz w:val="21"/>
        </w:rPr>
        <w:t>Para cada caso, la plataforma debe entregar una ficha única que permita responder rápidamente: qué ocurrió, qué documentos lo sustentan, qué falta solicitar, cuánto es la pérdida preliminar, quién debe revisarlo, en qué estado se encuentra y si está listo para ser derivado.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448"/>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Resultado</w:t>
            </w:r>
          </w:p>
        </w:tc>
        <w:tc>
          <w:tcPr>
            <w:tcW w:type="dxa" w:w="7776"/>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Condición observable</w:t>
            </w:r>
          </w:p>
        </w:tc>
      </w:tr>
      <w:tr>
        <w:trPr>
          <w:cantSplit/>
        </w:trPr>
        <w:tc>
          <w:tcPr>
            <w:tcW w:type="dxa" w:w="24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Expediente digital</w:t>
            </w:r>
          </w:p>
        </w:tc>
        <w:tc>
          <w:tcPr>
            <w:tcW w:type="dxa" w:w="77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La documentación queda agrupada bajo una referencia única, con nombre normalizado y original preservado.</w:t>
            </w:r>
          </w:p>
        </w:tc>
      </w:tr>
      <w:tr>
        <w:trPr>
          <w:cantSplit/>
        </w:trPr>
        <w:tc>
          <w:tcPr>
            <w:tcW w:type="dxa" w:w="24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Inventario documental</w:t>
            </w:r>
          </w:p>
        </w:tc>
        <w:tc>
          <w:tcPr>
            <w:tcW w:type="dxa" w:w="77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Se ve qué documentos están disponibles, cuáles faltan y cuáles deben solicitarse.</w:t>
            </w:r>
          </w:p>
        </w:tc>
      </w:tr>
      <w:tr>
        <w:trPr>
          <w:cantSplit/>
        </w:trPr>
        <w:tc>
          <w:tcPr>
            <w:tcW w:type="dxa" w:w="24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Ficha operativa</w:t>
            </w:r>
          </w:p>
        </w:tc>
        <w:tc>
          <w:tcPr>
            <w:tcW w:type="dxa" w:w="77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Los campos relevantes se extraen y se pueden revisar o corregir.</w:t>
            </w:r>
          </w:p>
        </w:tc>
      </w:tr>
      <w:tr>
        <w:trPr>
          <w:cantSplit/>
        </w:trPr>
        <w:tc>
          <w:tcPr>
            <w:tcW w:type="dxa" w:w="24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Cálculo explicable</w:t>
            </w:r>
          </w:p>
        </w:tc>
        <w:tc>
          <w:tcPr>
            <w:tcW w:type="dxa" w:w="77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Cada método muestra sus entradas, resultado, moneda, tipo de cambio cuando corresponda y justificación.</w:t>
            </w:r>
          </w:p>
        </w:tc>
      </w:tr>
      <w:tr>
        <w:trPr>
          <w:cantSplit/>
        </w:trPr>
        <w:tc>
          <w:tcPr>
            <w:tcW w:type="dxa" w:w="24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Revisión humana</w:t>
            </w:r>
          </w:p>
        </w:tc>
        <w:tc>
          <w:tcPr>
            <w:tcW w:type="dxa" w:w="77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El handler confirma o modifica resumen, causa, documentos, faltantes y método aplicable.</w:t>
            </w:r>
          </w:p>
        </w:tc>
      </w:tr>
      <w:tr>
        <w:trPr>
          <w:cantSplit/>
        </w:trPr>
        <w:tc>
          <w:tcPr>
            <w:tcW w:type="dxa" w:w="24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Traspaso controlado</w:t>
            </w:r>
          </w:p>
        </w:tc>
        <w:tc>
          <w:tcPr>
            <w:tcW w:type="dxa" w:w="77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8"/>
              </w:rPr>
              <w:t>El caso queda marcado para FIS o Lawgistic y el cálculo deja de editarse después del traspaso.</w:t>
            </w:r>
          </w:p>
        </w:tc>
      </w:tr>
    </w:tbl>
    <w:p>
      <w:pPr>
        <w:spacing w:after="20"/>
      </w:pPr>
    </w:p>
    <w:p>
      <w:r>
        <w:br w:type="page"/>
      </w:r>
    </w:p>
    <w:p>
      <w:pPr>
        <w:pStyle w:val="Heading1"/>
        <w:keepNext/>
        <w:spacing w:before="300" w:after="100"/>
      </w:pPr>
      <w:r>
        <w:rPr>
          <w:rFonts w:ascii="Aptos" w:hAnsi="Aptos"/>
          <w:b/>
          <w:i w:val="0"/>
          <w:color w:val="182A46"/>
          <w:sz w:val="30"/>
        </w:rPr>
        <w:t>4 Alcance contractual</w:t>
      </w:r>
    </w:p>
    <w:p>
      <w:pPr>
        <w:pStyle w:val="BodyText"/>
        <w:spacing w:before="0" w:after="140" w:line="269" w:lineRule="auto"/>
      </w:pPr>
      <w:r>
        <w:rPr>
          <w:rFonts w:ascii="Aptos" w:hAnsi="Aptos"/>
          <w:b w:val="0"/>
          <w:i w:val="0"/>
          <w:color w:val="182A46"/>
          <w:sz w:val="21"/>
        </w:rPr>
        <w:t>El siguiente resumen refleja el alcance funcional mínimo entendido a partir del contrato de prestación de servicios. Se presenta en lenguaje operativo para facilitar la comparación con la experiencia de Sauvalle.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Área</w:t>
            </w:r>
          </w:p>
        </w:tc>
        <w:tc>
          <w:tcPr>
            <w:tcW w:type="dxa" w:w="8136"/>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Incluido en el alcance contractual</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Usuarios</w:t>
            </w:r>
          </w:p>
        </w:tc>
        <w:tc>
          <w:tcPr>
            <w:tcW w:type="dxa" w:w="813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Handler para operación; Gerente para cartera y reversión justificada; CEO o Dirección para consulta de solo lectura.</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Creación</w:t>
            </w:r>
          </w:p>
        </w:tc>
        <w:tc>
          <w:tcPr>
            <w:tcW w:type="dxa" w:w="813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Alta manual y carga masiva de una carpeta documental; detección de referencias duplicadas.</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Documentos</w:t>
            </w:r>
          </w:p>
        </w:tc>
        <w:tc>
          <w:tcPr>
            <w:tcW w:type="dxa" w:w="813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Clasificación automática de categorías definidas; OCR para documentos escaneados; renombrado automático conservando el original; corrección manual.</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Expediente</w:t>
            </w:r>
          </w:p>
        </w:tc>
        <w:tc>
          <w:tcPr>
            <w:tcW w:type="dxa" w:w="813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Datos generales, documentos disponibles y faltantes, causa, cálculo, historial, estado, handler y riesgo de prescripción.</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Extracción</w:t>
            </w:r>
          </w:p>
        </w:tc>
        <w:tc>
          <w:tcPr>
            <w:tcW w:type="dxa" w:w="813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Extracción asistida desde BL, facturas, liquidaciones y documentos definidos para alimentar el análisis.</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Causa y mérito</w:t>
            </w:r>
          </w:p>
        </w:tc>
        <w:tc>
          <w:tcPr>
            <w:tcW w:type="dxa" w:w="813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Causa potencial, respaldo documental y recomendación preliminar, siempre sujeta a confirmación humana.</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Cartas base</w:t>
            </w:r>
          </w:p>
        </w:tc>
        <w:tc>
          <w:tcPr>
            <w:tcW w:type="dxa" w:w="813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AoR, Harvest, LoA y Claim Notice, usando templates base entregados o validados por FIS y con aprobación del handler.</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Pérdida</w:t>
            </w:r>
          </w:p>
        </w:tc>
        <w:tc>
          <w:tcPr>
            <w:tcW w:type="dxa" w:w="813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Tres métodos comparativos, moneda contractual USD y CLP, venta a firme, nota de crédito, ítems adicionales y justificación obligatoria.</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Prescripción</w:t>
            </w:r>
          </w:p>
        </w:tc>
        <w:tc>
          <w:tcPr>
            <w:tcW w:type="dxa" w:w="813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Cálculo y alerta conforme a las jurisdicciones y reglas aprobadas para el demo contractual.</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Gestión</w:t>
            </w:r>
          </w:p>
        </w:tc>
        <w:tc>
          <w:tcPr>
            <w:tcW w:type="dxa" w:w="813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Dashboard, benchmark por handler, historial de cambios y reporte de revisión.</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Memoria</w:t>
            </w:r>
          </w:p>
        </w:tc>
        <w:tc>
          <w:tcPr>
            <w:tcW w:type="dxa" w:w="813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Carga histórica inicial y consulta de registros históricos sin mezclarlos con casos activos.</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Traspaso</w:t>
            </w:r>
          </w:p>
        </w:tc>
        <w:tc>
          <w:tcPr>
            <w:tcW w:type="dxa" w:w="813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Cierre local de Preclaim hacia FIS o Lawgistic, sin integración externa ni gestión posterior dentro del sistema.</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Manual</w:t>
            </w:r>
          </w:p>
        </w:tc>
        <w:tc>
          <w:tcPr>
            <w:tcW w:type="dxa" w:w="813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Manual de usuario integrado con descripción de funciones y flujo recomendado.</w:t>
            </w:r>
          </w:p>
        </w:tc>
      </w:tr>
    </w:tbl>
    <w:p>
      <w:pPr>
        <w:spacing w:after="20"/>
      </w:pPr>
    </w:p>
    <w:p>
      <w:pPr>
        <w:pStyle w:val="Heading1"/>
        <w:keepNext/>
        <w:spacing w:before="300" w:after="100"/>
      </w:pPr>
      <w:r>
        <w:rPr>
          <w:rFonts w:ascii="Aptos" w:hAnsi="Aptos"/>
          <w:b/>
          <w:i w:val="0"/>
          <w:color w:val="182A46"/>
          <w:sz w:val="30"/>
        </w:rPr>
        <w:t>5 Fuera de alcance contractual o sujeto a cambio</w:t>
      </w:r>
    </w:p>
    <w:p>
      <w:pPr>
        <w:pStyle w:val="BodyText"/>
        <w:spacing w:before="0" w:after="120" w:line="269" w:lineRule="auto"/>
      </w:pPr>
      <w:r>
        <w:rPr>
          <w:rFonts w:ascii="Aptos" w:hAnsi="Aptos"/>
          <w:b w:val="0"/>
          <w:i w:val="0"/>
          <w:color w:val="182A46"/>
          <w:sz w:val="21"/>
        </w:rPr>
        <w:t>Estos puntos fueron identificados en el contrato como exclusiones o requieren definición adicional. Algunos pueden aparecer en el demo para mostrar una posible evolución, pero deben permanecer separados del baseline contractual.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Tema</w:t>
            </w:r>
          </w:p>
        </w:tc>
        <w:tc>
          <w:tcPr>
            <w:tcW w:type="dxa" w:w="7848"/>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Tratamiento recomendado para la revisión</w:t>
            </w:r>
          </w:p>
        </w:tc>
      </w:tr>
      <w:tr>
        <w:trPr>
          <w:cantSplit/>
        </w:trPr>
        <w:tc>
          <w:tcPr>
            <w:tcW w:type="dxa" w:w="23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Integraciones externas</w:t>
            </w:r>
          </w:p>
        </w:tc>
        <w:tc>
          <w:tcPr>
            <w:tcW w:type="dxa" w:w="78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No asumir API, lectura automática de plataformas, correo o escritura en sistemas de terceros sin definición de interfaz, credenciales, seguridad y Change Request.</w:t>
            </w:r>
          </w:p>
        </w:tc>
      </w:tr>
      <w:tr>
        <w:trPr>
          <w:cantSplit/>
        </w:trPr>
        <w:tc>
          <w:tcPr>
            <w:tcW w:type="dxa" w:w="23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Monedas y tipo de cambio</w:t>
            </w:r>
          </w:p>
        </w:tc>
        <w:tc>
          <w:tcPr>
            <w:tcW w:type="dxa" w:w="78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USD y CLP son la base contractual. EUR y conversión automática configurable se consideran evolución a validar.</w:t>
            </w:r>
          </w:p>
        </w:tc>
      </w:tr>
      <w:tr>
        <w:trPr>
          <w:cantSplit/>
        </w:trPr>
        <w:tc>
          <w:tcPr>
            <w:tcW w:type="dxa" w:w="23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Inspector</w:t>
            </w:r>
          </w:p>
        </w:tc>
        <w:tc>
          <w:tcPr>
            <w:tcW w:type="dxa" w:w="78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El perfil restringido y el acceso por asignación fueron solicitados posteriormente y deben confirmarse como extensión.</w:t>
            </w:r>
          </w:p>
        </w:tc>
      </w:tr>
      <w:tr>
        <w:trPr>
          <w:cantSplit/>
        </w:trPr>
        <w:tc>
          <w:tcPr>
            <w:tcW w:type="dxa" w:w="23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SUBRO y destrucción</w:t>
            </w:r>
          </w:p>
        </w:tc>
        <w:tc>
          <w:tcPr>
            <w:tcW w:type="dxa" w:w="78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No forman parte de los cuatro templates base contractuales definidos en este documento; requieren aprobación de alcance y formatos.</w:t>
            </w:r>
          </w:p>
        </w:tc>
      </w:tr>
      <w:tr>
        <w:trPr>
          <w:cantSplit/>
        </w:trPr>
        <w:tc>
          <w:tcPr>
            <w:tcW w:type="dxa" w:w="23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Motor avanzado de templates</w:t>
            </w:r>
          </w:p>
        </w:tc>
        <w:tc>
          <w:tcPr>
            <w:tcW w:type="dxa" w:w="78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Se considera mantenedor de templates base parametrizados, no un editor avanzado para cualquier cliente, naviera o jurisdicción.</w:t>
            </w:r>
          </w:p>
        </w:tc>
      </w:tr>
      <w:tr>
        <w:trPr>
          <w:cantSplit/>
        </w:trPr>
        <w:tc>
          <w:tcPr>
            <w:tcW w:type="dxa" w:w="23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Solicitudes por correo</w:t>
            </w:r>
          </w:p>
        </w:tc>
        <w:tc>
          <w:tcPr>
            <w:tcW w:type="dxa" w:w="78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La solicitud documental puede prepararse y descargarse; el envío automático y la incorporación de planillas adjuntas requieren definición adicional.</w:t>
            </w:r>
          </w:p>
        </w:tc>
      </w:tr>
      <w:tr>
        <w:trPr>
          <w:cantSplit/>
        </w:trPr>
        <w:tc>
          <w:tcPr>
            <w:tcW w:type="dxa" w:w="23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Agrupación de naves masivas</w:t>
            </w:r>
          </w:p>
        </w:tc>
        <w:tc>
          <w:tcPr>
            <w:tcW w:type="dxa" w:w="78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Es una mejora útil para operación, pero no debe confundirse con el mínimo contractual hasta confirmación escrita.</w:t>
            </w:r>
          </w:p>
        </w:tc>
      </w:tr>
      <w:tr>
        <w:trPr>
          <w:cantSplit/>
        </w:trPr>
        <w:tc>
          <w:tcPr>
            <w:tcW w:type="dxa" w:w="23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Gestión posterior al traspaso</w:t>
            </w:r>
          </w:p>
        </w:tc>
        <w:tc>
          <w:tcPr>
            <w:tcW w:type="dxa" w:w="78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FIS o Lawgistic reciben el caso como estado de cierre local; la gestión judicial o extrajudicial posterior no está modelada.</w:t>
            </w:r>
          </w:p>
        </w:tc>
      </w:tr>
    </w:tbl>
    <w:p>
      <w:pPr>
        <w:spacing w:after="20"/>
      </w:pPr>
    </w:p>
    <w:p>
      <w:pPr>
        <w:pStyle w:val="Heading1"/>
        <w:keepNext/>
        <w:spacing w:before="300" w:after="100"/>
      </w:pPr>
      <w:r>
        <w:rPr>
          <w:rFonts w:ascii="Aptos" w:hAnsi="Aptos"/>
          <w:b/>
          <w:i w:val="0"/>
          <w:color w:val="182A46"/>
          <w:sz w:val="30"/>
        </w:rPr>
        <w:t>6 Flujo funcional punta a punta</w:t>
      </w:r>
    </w:p>
    <w:p>
      <w:pPr>
        <w:pStyle w:val="BodyText"/>
        <w:spacing w:before="0" w:after="120" w:line="269" w:lineRule="auto"/>
      </w:pPr>
      <w:r>
        <w:rPr>
          <w:rFonts w:ascii="Aptos" w:hAnsi="Aptos"/>
          <w:b w:val="0"/>
          <w:i w:val="0"/>
          <w:color w:val="182A46"/>
          <w:sz w:val="21"/>
        </w:rPr>
        <w:t>La plataforma debe permitir que un handler avance por el flujo siguiente, con puntos explícitos de revisión y sin considerar la recomendación automática como una decisión definitiva.</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512"/>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Paso</w:t>
            </w:r>
          </w:p>
        </w:tc>
        <w:tc>
          <w:tcPr>
            <w:tcW w:type="dxa" w:w="1728"/>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Actor principal</w:t>
            </w:r>
          </w:p>
        </w:tc>
        <w:tc>
          <w:tcPr>
            <w:tcW w:type="dxa" w:w="4824"/>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Comportamiento esperado</w:t>
            </w:r>
          </w:p>
        </w:tc>
        <w:tc>
          <w:tcPr>
            <w:tcW w:type="dxa" w:w="2160"/>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Salida</w:t>
            </w:r>
          </w:p>
        </w:tc>
      </w:tr>
      <w:tr>
        <w:trPr>
          <w:cantSplit/>
        </w:trPr>
        <w:tc>
          <w:tcPr>
            <w:tcW w:type="dxa" w:w="15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1 Ingreso</w:t>
            </w:r>
          </w:p>
        </w:tc>
        <w:tc>
          <w:tcPr>
            <w:tcW w:type="dxa" w:w="172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Handler</w:t>
            </w:r>
          </w:p>
        </w:tc>
        <w:tc>
          <w:tcPr>
            <w:tcW w:type="dxa" w:w="48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Crea el caso o carga una carpeta completa mediante selección, drag and drop o mecanismo habilitado.</w:t>
            </w:r>
          </w:p>
        </w:tc>
        <w:tc>
          <w:tcPr>
            <w:tcW w:type="dxa" w:w="216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Caso inicial y lote de archivos.</w:t>
            </w:r>
          </w:p>
        </w:tc>
      </w:tr>
      <w:tr>
        <w:trPr>
          <w:cantSplit/>
        </w:trPr>
        <w:tc>
          <w:tcPr>
            <w:tcW w:type="dxa" w:w="15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2 Identificación</w:t>
            </w:r>
          </w:p>
        </w:tc>
        <w:tc>
          <w:tcPr>
            <w:tcW w:type="dxa" w:w="172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Sistema y handler</w:t>
            </w:r>
          </w:p>
        </w:tc>
        <w:tc>
          <w:tcPr>
            <w:tcW w:type="dxa" w:w="48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Lee la referencia interna, detecta duplicados y permite corregir la referencia antes de continuar.</w:t>
            </w:r>
          </w:p>
        </w:tc>
        <w:tc>
          <w:tcPr>
            <w:tcW w:type="dxa" w:w="216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Referencia única confirmada.</w:t>
            </w:r>
          </w:p>
        </w:tc>
      </w:tr>
      <w:tr>
        <w:trPr>
          <w:cantSplit/>
        </w:trPr>
        <w:tc>
          <w:tcPr>
            <w:tcW w:type="dxa" w:w="15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3 Procesamiento</w:t>
            </w:r>
          </w:p>
        </w:tc>
        <w:tc>
          <w:tcPr>
            <w:tcW w:type="dxa" w:w="172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Sistema</w:t>
            </w:r>
          </w:p>
        </w:tc>
        <w:tc>
          <w:tcPr>
            <w:tcW w:type="dxa" w:w="48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Procesa todos los archivos compatibles, registra el progreso y conserva original, ruta y nombre recibido.</w:t>
            </w:r>
          </w:p>
        </w:tc>
        <w:tc>
          <w:tcPr>
            <w:tcW w:type="dxa" w:w="216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Archivos procesados o con observación.</w:t>
            </w:r>
          </w:p>
        </w:tc>
      </w:tr>
      <w:tr>
        <w:trPr>
          <w:cantSplit/>
        </w:trPr>
        <w:tc>
          <w:tcPr>
            <w:tcW w:type="dxa" w:w="15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4 Clasificación</w:t>
            </w:r>
          </w:p>
        </w:tc>
        <w:tc>
          <w:tcPr>
            <w:tcW w:type="dxa" w:w="172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Sistema y handler</w:t>
            </w:r>
          </w:p>
        </w:tc>
        <w:tc>
          <w:tcPr>
            <w:tcW w:type="dxa" w:w="48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Propone tipo documental, nombre normalizado y confianza; el handler puede corregir cada resultado.</w:t>
            </w:r>
          </w:p>
        </w:tc>
        <w:tc>
          <w:tcPr>
            <w:tcW w:type="dxa" w:w="216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Inventario clasificado.</w:t>
            </w:r>
          </w:p>
        </w:tc>
      </w:tr>
      <w:tr>
        <w:trPr>
          <w:cantSplit/>
        </w:trPr>
        <w:tc>
          <w:tcPr>
            <w:tcW w:type="dxa" w:w="15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5 Extracción</w:t>
            </w:r>
          </w:p>
        </w:tc>
        <w:tc>
          <w:tcPr>
            <w:tcW w:type="dxa" w:w="172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Sistema y handler</w:t>
            </w:r>
          </w:p>
        </w:tc>
        <w:tc>
          <w:tcPr>
            <w:tcW w:type="dxa" w:w="48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Extrae campos del BL, facturas, liquidaciones y documentos definidos; marca los datos que deben confirmarse.</w:t>
            </w:r>
          </w:p>
        </w:tc>
        <w:tc>
          <w:tcPr>
            <w:tcW w:type="dxa" w:w="216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Ficha de antecedentes.</w:t>
            </w:r>
          </w:p>
        </w:tc>
      </w:tr>
      <w:tr>
        <w:trPr>
          <w:cantSplit/>
        </w:trPr>
        <w:tc>
          <w:tcPr>
            <w:tcW w:type="dxa" w:w="15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6 Inventario</w:t>
            </w:r>
          </w:p>
        </w:tc>
        <w:tc>
          <w:tcPr>
            <w:tcW w:type="dxa" w:w="172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Sistema y handler</w:t>
            </w:r>
          </w:p>
        </w:tc>
        <w:tc>
          <w:tcPr>
            <w:tcW w:type="dxa" w:w="48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Compara documentos presentes con checklist y genera faltantes o solicitudes sugeridas.</w:t>
            </w:r>
          </w:p>
        </w:tc>
        <w:tc>
          <w:tcPr>
            <w:tcW w:type="dxa" w:w="216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Cobertura documental y pendientes.</w:t>
            </w:r>
          </w:p>
        </w:tc>
      </w:tr>
      <w:tr>
        <w:trPr>
          <w:cantSplit/>
        </w:trPr>
        <w:tc>
          <w:tcPr>
            <w:tcW w:type="dxa" w:w="15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7 Análisis</w:t>
            </w:r>
          </w:p>
        </w:tc>
        <w:tc>
          <w:tcPr>
            <w:tcW w:type="dxa" w:w="172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Sistema y handler</w:t>
            </w:r>
          </w:p>
        </w:tc>
        <w:tc>
          <w:tcPr>
            <w:tcW w:type="dxa" w:w="48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Propone tipo de caso, causa potencial, respaldo y mérito preliminar.</w:t>
            </w:r>
          </w:p>
        </w:tc>
        <w:tc>
          <w:tcPr>
            <w:tcW w:type="dxa" w:w="216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Recomendación editable.</w:t>
            </w:r>
          </w:p>
        </w:tc>
      </w:tr>
      <w:tr>
        <w:trPr>
          <w:cantSplit/>
        </w:trPr>
        <w:tc>
          <w:tcPr>
            <w:tcW w:type="dxa" w:w="15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8 Cálculo</w:t>
            </w:r>
          </w:p>
        </w:tc>
        <w:tc>
          <w:tcPr>
            <w:tcW w:type="dxa" w:w="172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Sistema y handler</w:t>
            </w:r>
          </w:p>
        </w:tc>
        <w:tc>
          <w:tcPr>
            <w:tcW w:type="dxa" w:w="48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Calcula métodos disponibles, permite comparar resultados y exige seleccionar y justificar el aplicable.</w:t>
            </w:r>
          </w:p>
        </w:tc>
        <w:tc>
          <w:tcPr>
            <w:tcW w:type="dxa" w:w="216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Pérdida preliminar validada.</w:t>
            </w:r>
          </w:p>
        </w:tc>
      </w:tr>
      <w:tr>
        <w:trPr>
          <w:cantSplit/>
        </w:trPr>
        <w:tc>
          <w:tcPr>
            <w:tcW w:type="dxa" w:w="15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9 Documentos</w:t>
            </w:r>
          </w:p>
        </w:tc>
        <w:tc>
          <w:tcPr>
            <w:tcW w:type="dxa" w:w="172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Handler</w:t>
            </w:r>
          </w:p>
        </w:tc>
        <w:tc>
          <w:tcPr>
            <w:tcW w:type="dxa" w:w="48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Genera cartas base desde la información confirmada y permite descargar el resultado para aprobación.</w:t>
            </w:r>
          </w:p>
        </w:tc>
        <w:tc>
          <w:tcPr>
            <w:tcW w:type="dxa" w:w="216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Documento generado.</w:t>
            </w:r>
          </w:p>
        </w:tc>
      </w:tr>
      <w:tr>
        <w:trPr>
          <w:cantSplit/>
        </w:trPr>
        <w:tc>
          <w:tcPr>
            <w:tcW w:type="dxa" w:w="15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10 Cierre</w:t>
            </w:r>
          </w:p>
        </w:tc>
        <w:tc>
          <w:tcPr>
            <w:tcW w:type="dxa" w:w="172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Handler y Gerente</w:t>
            </w:r>
          </w:p>
        </w:tc>
        <w:tc>
          <w:tcPr>
            <w:tcW w:type="dxa" w:w="48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Emite reporte de revisión y traspasa a FIS o Lawgistic. El Gerente puede revertir con motivo.</w:t>
            </w:r>
          </w:p>
        </w:tc>
        <w:tc>
          <w:tcPr>
            <w:tcW w:type="dxa" w:w="216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Caso listo o traspasado.</w:t>
            </w:r>
          </w:p>
        </w:tc>
      </w:tr>
    </w:tbl>
    <w:p>
      <w:pPr>
        <w:spacing w:after="20"/>
      </w:pPr>
    </w:p>
    <w:p>
      <w:pPr>
        <w:pStyle w:val="Heading1"/>
        <w:keepNext/>
        <w:spacing w:before="300" w:after="100"/>
      </w:pPr>
      <w:r>
        <w:rPr>
          <w:rFonts w:ascii="Aptos" w:hAnsi="Aptos"/>
          <w:b/>
          <w:i w:val="0"/>
          <w:color w:val="182A46"/>
          <w:sz w:val="30"/>
        </w:rPr>
        <w:t>7 Reglas de estado</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Estado</w:t>
            </w:r>
          </w:p>
        </w:tc>
        <w:tc>
          <w:tcPr>
            <w:tcW w:type="dxa" w:w="432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Cuándo corresponde</w:t>
            </w:r>
          </w:p>
        </w:tc>
        <w:tc>
          <w:tcPr>
            <w:tcW w:type="dxa" w:w="3816"/>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Acciones permitidas</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Datos incompletos</w:t>
            </w:r>
          </w:p>
        </w:tc>
        <w:tc>
          <w:tcPr>
            <w:tcW w:type="dxa" w:w="43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No existe información mínima o la identificación del caso requiere corrección.</w:t>
            </w:r>
          </w:p>
        </w:tc>
        <w:tc>
          <w:tcPr>
            <w:tcW w:type="dxa" w:w="381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Completar ficha, corregir referencia o agregar documentos.</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Preclaim</w:t>
            </w:r>
          </w:p>
        </w:tc>
        <w:tc>
          <w:tcPr>
            <w:tcW w:type="dxa" w:w="43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El caso fue creado y está en análisis operativo.</w:t>
            </w:r>
          </w:p>
        </w:tc>
        <w:tc>
          <w:tcPr>
            <w:tcW w:type="dxa" w:w="381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Procesar, revisar, solicitar documentos y proponer cálculo.</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Documentación pendiente</w:t>
            </w:r>
          </w:p>
        </w:tc>
        <w:tc>
          <w:tcPr>
            <w:tcW w:type="dxa" w:w="43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Faltan antecedentes relevantes para cerrar el análisis.</w:t>
            </w:r>
          </w:p>
        </w:tc>
        <w:tc>
          <w:tcPr>
            <w:tcW w:type="dxa" w:w="381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Solicitar o confirmar faltantes y volver a revisar.</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Cálculo completo</w:t>
            </w:r>
          </w:p>
        </w:tc>
        <w:tc>
          <w:tcPr>
            <w:tcW w:type="dxa" w:w="43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Existe un método seleccionado, justificado y revisado por el handler.</w:t>
            </w:r>
          </w:p>
        </w:tc>
        <w:tc>
          <w:tcPr>
            <w:tcW w:type="dxa" w:w="381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Generar reporte y preparar traspaso.</w:t>
            </w:r>
          </w:p>
        </w:tc>
      </w:tr>
      <w:tr>
        <w:trPr>
          <w:cantSplit/>
        </w:trPr>
        <w:tc>
          <w:tcPr>
            <w:tcW w:type="dxa" w:w="208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Traspasado a FIS</w:t>
            </w:r>
          </w:p>
        </w:tc>
        <w:tc>
          <w:tcPr>
            <w:tcW w:type="dxa" w:w="43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Preclaim se cerró y queda preparado para recupero extrajudicial.</w:t>
            </w:r>
          </w:p>
        </w:tc>
        <w:tc>
          <w:tcPr>
            <w:tcW w:type="dxa" w:w="381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Consulta; el cálculo queda bloqueado.</w:t>
            </w:r>
          </w:p>
        </w:tc>
      </w:tr>
      <w:tr>
        <w:trPr>
          <w:cantSplit/>
        </w:trPr>
        <w:tc>
          <w:tcPr>
            <w:tcW w:type="dxa" w:w="208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Traspasado a Lawgistic</w:t>
            </w:r>
          </w:p>
        </w:tc>
        <w:tc>
          <w:tcPr>
            <w:tcW w:type="dxa" w:w="43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Preclaim se cerró y queda preparado para recupero judicial.</w:t>
            </w:r>
          </w:p>
        </w:tc>
        <w:tc>
          <w:tcPr>
            <w:tcW w:type="dxa" w:w="381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Consulta; el cálculo queda bloqueado.</w:t>
            </w:r>
          </w:p>
        </w:tc>
      </w:tr>
    </w:tbl>
    <w:p>
      <w:pPr>
        <w:spacing w:after="20"/>
      </w:pPr>
    </w:p>
    <w:p>
      <w:pPr>
        <w:pStyle w:val="Heading1"/>
        <w:keepNext/>
        <w:spacing w:before="300" w:after="100"/>
      </w:pPr>
      <w:r>
        <w:rPr>
          <w:rFonts w:ascii="Aptos" w:hAnsi="Aptos"/>
          <w:b/>
          <w:i w:val="0"/>
          <w:color w:val="182A46"/>
          <w:sz w:val="30"/>
        </w:rPr>
        <w:t>8 Módulos y funcionalidades</w:t>
      </w:r>
    </w:p>
    <w:p>
      <w:pPr>
        <w:pStyle w:val="Heading2"/>
        <w:keepNext/>
        <w:spacing w:before="200" w:after="100"/>
      </w:pPr>
      <w:r>
        <w:rPr>
          <w:rFonts w:ascii="Aptos" w:hAnsi="Aptos"/>
          <w:b/>
          <w:i w:val="0"/>
          <w:color w:val="182A46"/>
          <w:sz w:val="23"/>
        </w:rPr>
        <w:t>8.1 Acceso y perfiles</w:t>
      </w:r>
    </w:p>
    <w:p>
      <w:pPr>
        <w:pStyle w:val="BodyText"/>
        <w:spacing w:before="0" w:after="80" w:line="269" w:lineRule="auto"/>
      </w:pPr>
      <w:r>
        <w:rPr>
          <w:rFonts w:ascii="Aptos" w:hAnsi="Aptos"/>
          <w:b w:val="0"/>
          <w:i w:val="0"/>
          <w:color w:val="182A46"/>
          <w:sz w:val="21"/>
        </w:rPr>
        <w:t>El sistema debe iniciar con un usuario autenticado en producción y mostrar únicamente las acciones que correspondan al perfil. El selector de rol del demo sirve para recorrer los perfiles, pero no reemplaza una autenticación real.</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Perfil</w:t>
            </w:r>
          </w:p>
        </w:tc>
        <w:tc>
          <w:tcPr>
            <w:tcW w:type="dxa" w:w="5472"/>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Puede hacer</w:t>
            </w:r>
          </w:p>
        </w:tc>
        <w:tc>
          <w:tcPr>
            <w:tcW w:type="dxa" w:w="2951"/>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No debe hacer</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Handler</w:t>
            </w:r>
          </w:p>
        </w:tc>
        <w:tc>
          <w:tcPr>
            <w:tcW w:type="dxa" w:w="547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Crear y revisar casos; clasificar documentos; confirmar datos; solicitar faltantes; calcular; generar cartas; derivar.</w:t>
            </w:r>
          </w:p>
        </w:tc>
        <w:tc>
          <w:tcPr>
            <w:tcW w:type="dxa" w:w="2951"/>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Modificar reglas globales o revertir casos sin autorización.</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Gerente</w:t>
            </w:r>
          </w:p>
        </w:tc>
        <w:tc>
          <w:tcPr>
            <w:tcW w:type="dxa" w:w="547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Consultar cartera y benchmark; revisar desempeño; gestionar reversión con motivo; consultar historial.</w:t>
            </w:r>
          </w:p>
        </w:tc>
        <w:tc>
          <w:tcPr>
            <w:tcW w:type="dxa" w:w="2951"/>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Alterar la trazabilidad de una reversión o borrar evidencia.</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CEO o Dirección</w:t>
            </w:r>
          </w:p>
        </w:tc>
        <w:tc>
          <w:tcPr>
            <w:tcW w:type="dxa" w:w="547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Consultar indicadores, estados, reportes y expedientes.</w:t>
            </w:r>
          </w:p>
        </w:tc>
        <w:tc>
          <w:tcPr>
            <w:tcW w:type="dxa" w:w="2951"/>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Editar datos operativos o cálculos.</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Inspector</w:t>
            </w:r>
          </w:p>
        </w:tc>
        <w:tc>
          <w:tcPr>
            <w:tcW w:type="dxa" w:w="547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Solo si se aprueba como evolución: buscar casos asignados y registrar datos de inspección.</w:t>
            </w:r>
          </w:p>
        </w:tc>
        <w:tc>
          <w:tcPr>
            <w:tcW w:type="dxa" w:w="2951"/>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Acceder a casos no asignados, cálculos, configuraciones o historia completa.</w:t>
            </w:r>
          </w:p>
        </w:tc>
      </w:tr>
    </w:tbl>
    <w:p>
      <w:pPr>
        <w:spacing w:after="20"/>
      </w:pPr>
    </w:p>
    <w:p>
      <w:pPr>
        <w:pStyle w:val="Heading2"/>
        <w:keepNext/>
        <w:spacing w:before="200" w:after="100"/>
      </w:pPr>
      <w:r>
        <w:rPr>
          <w:rFonts w:ascii="Aptos" w:hAnsi="Aptos"/>
          <w:b/>
          <w:i w:val="0"/>
          <w:color w:val="182A46"/>
          <w:sz w:val="23"/>
        </w:rPr>
        <w:t>8.2 Creación e identificación del caso</w:t>
      </w:r>
    </w:p>
    <w:p>
      <w:pPr>
        <w:pStyle w:val="BodyText"/>
        <w:spacing w:before="0" w:after="80" w:line="269" w:lineRule="auto"/>
      </w:pPr>
      <w:r>
        <w:rPr>
          <w:rFonts w:ascii="Aptos" w:hAnsi="Aptos"/>
          <w:b w:val="0"/>
          <w:i w:val="0"/>
          <w:color w:val="182A46"/>
          <w:sz w:val="21"/>
        </w:rPr>
        <w:t>El handler puede crear un caso con referencia interna y datos mínimos, o ingresar una carpeta documental completa. La referencia debe poder corregirse cuando exista duplicidad o cuando la fecha real de descarga cambie el criterio operativo. Toda corrección debe quedar registrada con usuario, fecha, valor anterior y valor nuevo.</w:t>
      </w:r>
    </w:p>
    <w:p>
      <w:pPr>
        <w:pStyle w:val="ListBullet"/>
        <w:spacing w:after="60" w:line="259" w:lineRule="auto"/>
      </w:pPr>
      <w:r>
        <w:rPr>
          <w:rFonts w:ascii="Aptos" w:hAnsi="Aptos"/>
          <w:b w:val="0"/>
          <w:i w:val="0"/>
          <w:color w:val="182A46"/>
          <w:sz w:val="20"/>
        </w:rPr>
        <w:t>La detección de duplicados debe advertir sin borrar ni combinar casos automáticamente.</w:t>
      </w:r>
    </w:p>
    <w:p>
      <w:pPr>
        <w:pStyle w:val="ListBullet"/>
        <w:spacing w:after="60" w:line="259" w:lineRule="auto"/>
      </w:pPr>
      <w:r>
        <w:rPr>
          <w:rFonts w:ascii="Aptos" w:hAnsi="Aptos"/>
          <w:b w:val="0"/>
          <w:i w:val="0"/>
          <w:color w:val="182A46"/>
          <w:sz w:val="20"/>
        </w:rPr>
        <w:t>La fecha de descarga debe distinguir entre ETA y fecha real, y permitir edición posterior con trazabilidad.</w:t>
      </w:r>
    </w:p>
    <w:p>
      <w:pPr>
        <w:pStyle w:val="ListBullet"/>
        <w:spacing w:after="60" w:line="259" w:lineRule="auto"/>
      </w:pPr>
      <w:r>
        <w:rPr>
          <w:rFonts w:ascii="Aptos" w:hAnsi="Aptos"/>
          <w:b w:val="0"/>
          <w:i w:val="0"/>
          <w:color w:val="182A46"/>
          <w:sz w:val="20"/>
        </w:rPr>
        <w:t>La referencia sugerida debe respetar la convención aprobada por FIS; el patrón visual del demo no reemplaza la confirmación de negocio.</w:t>
      </w:r>
    </w:p>
    <w:p>
      <w:pPr>
        <w:pStyle w:val="Heading2"/>
        <w:keepNext/>
        <w:spacing w:before="200" w:after="100"/>
      </w:pPr>
      <w:r>
        <w:rPr>
          <w:rFonts w:ascii="Aptos" w:hAnsi="Aptos"/>
          <w:b/>
          <w:i w:val="0"/>
          <w:color w:val="182A46"/>
          <w:sz w:val="23"/>
        </w:rPr>
        <w:t>8.3 Ingreso de carpeta documental</w:t>
      </w:r>
    </w:p>
    <w:p>
      <w:pPr>
        <w:pStyle w:val="BodyText"/>
        <w:spacing w:before="0" w:after="80" w:line="269" w:lineRule="auto"/>
      </w:pPr>
      <w:r>
        <w:rPr>
          <w:rFonts w:ascii="Aptos" w:hAnsi="Aptos"/>
          <w:b w:val="0"/>
          <w:i w:val="0"/>
          <w:color w:val="182A46"/>
          <w:sz w:val="21"/>
        </w:rPr>
        <w:t>El área de carga debe aceptar archivos individuales y carpetas completas mediante selección o drag and drop. El sistema debe informar cuántos archivos recibió, qué formatos procesa, cuáles quedaron con error y en qué etapa se encuentra el procesamiento.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80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Comportamiento</w:t>
            </w:r>
          </w:p>
        </w:tc>
        <w:tc>
          <w:tcPr>
            <w:tcW w:type="dxa" w:w="8424"/>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Criterio de aceptación</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Carga</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El usuario puede agregar una carpeta completa sin tener que cargar los documentos uno por uno.</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Formatos</w:t>
            </w:r>
          </w:p>
        </w:tc>
        <w:tc>
          <w:tcPr>
            <w:tcW w:type="dxa" w:w="84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Se procesan PDF, XLSX, XLS y CSV como base contractual; TXT, JSON, XML y MD pueden existir en el demo, pero deben validarse para producción.</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OCR</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Un PDF escaneado puede pasar por OCR o quedar marcado para revisión si la lectura no es confiable.</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Trazabilidad</w:t>
            </w:r>
          </w:p>
        </w:tc>
        <w:tc>
          <w:tcPr>
            <w:tcW w:type="dxa" w:w="84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Se conserva nombre original, ruta relativa, fecha de carga y estado de procesamiento.</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Errores</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Un archivo no compatible no bloquea el resto del lote y queda visible como observación.</w:t>
            </w:r>
          </w:p>
        </w:tc>
      </w:tr>
    </w:tbl>
    <w:p>
      <w:pPr>
        <w:spacing w:after="20"/>
      </w:pPr>
    </w:p>
    <w:p>
      <w:pPr>
        <w:pStyle w:val="Heading2"/>
        <w:keepNext/>
        <w:spacing w:before="200" w:after="100"/>
      </w:pPr>
      <w:r>
        <w:rPr>
          <w:rFonts w:ascii="Aptos" w:hAnsi="Aptos"/>
          <w:b/>
          <w:i w:val="0"/>
          <w:color w:val="182A46"/>
          <w:sz w:val="23"/>
        </w:rPr>
        <w:t>8.4 Clasificación y renombrado</w:t>
      </w:r>
    </w:p>
    <w:p>
      <w:pPr>
        <w:pStyle w:val="BodyText"/>
        <w:spacing w:before="0" w:after="80" w:line="269" w:lineRule="auto"/>
      </w:pPr>
      <w:r>
        <w:rPr>
          <w:rFonts w:ascii="Aptos" w:hAnsi="Aptos"/>
          <w:b w:val="0"/>
          <w:i w:val="0"/>
          <w:color w:val="182A46"/>
          <w:sz w:val="21"/>
        </w:rPr>
        <w:t>El sistema propone el tipo documental utilizando nombre, contenido y señales extraídas. La propuesta debe mostrar un nivel de confianza y permitir corrección manual. El renombrado normaliza el expediente, pero conserva el documento original y la relación con el archivo cargado.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448"/>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Grupo</w:t>
            </w:r>
          </w:p>
        </w:tc>
        <w:tc>
          <w:tcPr>
            <w:tcW w:type="dxa" w:w="7776"/>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Ejemplos de documentos</w:t>
            </w:r>
          </w:p>
        </w:tc>
      </w:tr>
      <w:tr>
        <w:trPr>
          <w:cantSplit/>
        </w:trPr>
        <w:tc>
          <w:tcPr>
            <w:tcW w:type="dxa" w:w="24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Notificación y respaldo</w:t>
            </w:r>
          </w:p>
        </w:tc>
        <w:tc>
          <w:tcPr>
            <w:tcW w:type="dxa" w:w="77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Carta de notificación a la naviera, AoR, Carta de subrogación o LoA.</w:t>
            </w:r>
          </w:p>
        </w:tc>
      </w:tr>
      <w:tr>
        <w:trPr>
          <w:cantSplit/>
        </w:trPr>
        <w:tc>
          <w:tcPr>
            <w:tcW w:type="dxa" w:w="24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Embarque y carga</w:t>
            </w:r>
          </w:p>
        </w:tc>
        <w:tc>
          <w:tcPr>
            <w:tcW w:type="dxa" w:w="77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BL, Booking, Factura de exportación, DUS, Packing List, certificado de origen y fitosanitario.</w:t>
            </w:r>
          </w:p>
        </w:tc>
      </w:tr>
      <w:tr>
        <w:trPr>
          <w:cantSplit/>
        </w:trPr>
        <w:tc>
          <w:tcPr>
            <w:tcW w:type="dxa" w:w="24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Inspección y calidad</w:t>
            </w:r>
          </w:p>
        </w:tc>
        <w:tc>
          <w:tcPr>
            <w:tcW w:type="dxa" w:w="777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Informes de QC, reportes de inspección, certificado de cosecha y registros de termógrafos.</w:t>
            </w:r>
          </w:p>
        </w:tc>
      </w:tr>
      <w:tr>
        <w:trPr>
          <w:cantSplit/>
        </w:trPr>
        <w:tc>
          <w:tcPr>
            <w:tcW w:type="dxa" w:w="24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Liquidación y seguimiento</w:t>
            </w:r>
          </w:p>
        </w:tc>
        <w:tc>
          <w:tcPr>
            <w:tcW w:type="dxa" w:w="777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Liquidación por contenedor, liquidaciones comparativas o informe de mercado y tracking de naviera.</w:t>
            </w:r>
          </w:p>
        </w:tc>
      </w:tr>
    </w:tbl>
    <w:p>
      <w:pPr>
        <w:spacing w:after="20"/>
      </w:pPr>
    </w:p>
    <w:p>
      <w:pPr>
        <w:pStyle w:val="Heading2"/>
        <w:keepNext/>
        <w:spacing w:before="200" w:after="100"/>
      </w:pPr>
      <w:r>
        <w:rPr>
          <w:rFonts w:ascii="Aptos" w:hAnsi="Aptos"/>
          <w:b/>
          <w:i w:val="0"/>
          <w:color w:val="182A46"/>
          <w:sz w:val="23"/>
        </w:rPr>
        <w:t>8.5 Expediente e inventario documental</w:t>
      </w:r>
    </w:p>
    <w:p>
      <w:pPr>
        <w:pStyle w:val="BodyText"/>
        <w:spacing w:before="0" w:after="80" w:line="269" w:lineRule="auto"/>
      </w:pPr>
      <w:r>
        <w:rPr>
          <w:rFonts w:ascii="Aptos" w:hAnsi="Aptos"/>
          <w:b w:val="0"/>
          <w:i w:val="0"/>
          <w:color w:val="182A46"/>
          <w:sz w:val="21"/>
        </w:rPr>
        <w:t>La ficha del caso debe mostrar un inventario de documentos con estado disponible, faltante, solicitado, observado o reemplazado. La cobertura documental debe expresarse como porcentaje y el usuario debe poder ver el motivo por el que un documento es relevante.</w:t>
      </w:r>
    </w:p>
    <w:p>
      <w:pPr>
        <w:pStyle w:val="ListBullet"/>
        <w:spacing w:after="60" w:line="259" w:lineRule="auto"/>
      </w:pPr>
      <w:r>
        <w:rPr>
          <w:rFonts w:ascii="Aptos" w:hAnsi="Aptos"/>
          <w:b w:val="0"/>
          <w:i w:val="0"/>
          <w:color w:val="182A46"/>
          <w:sz w:val="20"/>
        </w:rPr>
        <w:t>El checklist base debe ser revisable por FIS por tipo de caso y mantenerse separado de los documentos efectivamente presentes.</w:t>
      </w:r>
    </w:p>
    <w:p>
      <w:pPr>
        <w:pStyle w:val="ListBullet"/>
        <w:spacing w:after="60" w:line="259" w:lineRule="auto"/>
      </w:pPr>
      <w:r>
        <w:rPr>
          <w:rFonts w:ascii="Aptos" w:hAnsi="Aptos"/>
          <w:b w:val="0"/>
          <w:i w:val="0"/>
          <w:color w:val="182A46"/>
          <w:sz w:val="20"/>
        </w:rPr>
        <w:t>Los faltantes se pueden confirmar o desmarcar manualmente para que el sistema no obligue a solicitar antecedentes que no aplican.</w:t>
      </w:r>
    </w:p>
    <w:p>
      <w:pPr>
        <w:pStyle w:val="ListBullet"/>
        <w:spacing w:after="60" w:line="259" w:lineRule="auto"/>
      </w:pPr>
      <w:r>
        <w:rPr>
          <w:rFonts w:ascii="Aptos" w:hAnsi="Aptos"/>
          <w:b w:val="0"/>
          <w:i w:val="0"/>
          <w:color w:val="182A46"/>
          <w:sz w:val="20"/>
        </w:rPr>
        <w:t>La solicitud documental se puede preparar a partir de una lista o carta descargable; el envío automático de correo no es parte de la base contractual.</w:t>
      </w:r>
    </w:p>
    <w:p>
      <w:pPr>
        <w:pStyle w:val="Heading2"/>
        <w:keepNext/>
        <w:spacing w:before="200" w:after="100"/>
      </w:pPr>
      <w:r>
        <w:rPr>
          <w:rFonts w:ascii="Aptos" w:hAnsi="Aptos"/>
          <w:b/>
          <w:i w:val="0"/>
          <w:color w:val="182A46"/>
          <w:sz w:val="23"/>
        </w:rPr>
        <w:t>8.6 Extracción de antecedentes</w:t>
      </w:r>
    </w:p>
    <w:p>
      <w:pPr>
        <w:pStyle w:val="BodyText"/>
        <w:spacing w:before="0" w:after="80" w:line="269" w:lineRule="auto"/>
      </w:pPr>
      <w:r>
        <w:rPr>
          <w:rFonts w:ascii="Aptos" w:hAnsi="Aptos"/>
          <w:b w:val="0"/>
          <w:i w:val="0"/>
          <w:color w:val="182A46"/>
          <w:sz w:val="21"/>
        </w:rPr>
        <w:t>La extracción busca alimentar la ficha, el análisis de causa y las alternativas de pérdida. El sistema debe indicar el documento de origen de cada dato y permitir que el handler confirme, edite o descarte la propuesta.</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72"/>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Dato</w:t>
            </w:r>
          </w:p>
        </w:tc>
        <w:tc>
          <w:tcPr>
            <w:tcW w:type="dxa" w:w="324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Fuente habitual</w:t>
            </w:r>
          </w:p>
        </w:tc>
        <w:tc>
          <w:tcPr>
            <w:tcW w:type="dxa" w:w="5112"/>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Regla de revisión</w:t>
            </w:r>
          </w:p>
        </w:tc>
      </w:tr>
      <w:tr>
        <w:trPr>
          <w:cantSplit/>
        </w:trPr>
        <w:tc>
          <w:tcPr>
            <w:tcW w:type="dxa" w:w="187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Asegurado o cliente</w:t>
            </w:r>
          </w:p>
        </w:tc>
        <w:tc>
          <w:tcPr>
            <w:tcW w:type="dxa" w:w="324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BL, aviso, factura, correo o ficha de origen.</w:t>
            </w:r>
          </w:p>
        </w:tc>
        <w:tc>
          <w:tcPr>
            <w:tcW w:type="dxa" w:w="51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Confirmar razón social y evitar confundir exportador, comprador y asegurado.</w:t>
            </w:r>
          </w:p>
        </w:tc>
      </w:tr>
      <w:tr>
        <w:trPr>
          <w:cantSplit/>
        </w:trPr>
        <w:tc>
          <w:tcPr>
            <w:tcW w:type="dxa" w:w="187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Transportista u oponente</w:t>
            </w:r>
          </w:p>
        </w:tc>
        <w:tc>
          <w:tcPr>
            <w:tcW w:type="dxa" w:w="324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BL, carta de notificación, booking o tracking.</w:t>
            </w:r>
          </w:p>
        </w:tc>
        <w:tc>
          <w:tcPr>
            <w:tcW w:type="dxa" w:w="51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Confirmar naviera y contraparte que será objeto del recupero.</w:t>
            </w:r>
          </w:p>
        </w:tc>
      </w:tr>
      <w:tr>
        <w:trPr>
          <w:cantSplit/>
        </w:trPr>
        <w:tc>
          <w:tcPr>
            <w:tcW w:type="dxa" w:w="187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Nave y viaje</w:t>
            </w:r>
          </w:p>
        </w:tc>
        <w:tc>
          <w:tcPr>
            <w:tcW w:type="dxa" w:w="324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BL, booking y tracking.</w:t>
            </w:r>
          </w:p>
        </w:tc>
        <w:tc>
          <w:tcPr>
            <w:tcW w:type="dxa" w:w="51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Validar que nave, número de viaje y contenedor pertenecen al mismo embarque.</w:t>
            </w:r>
          </w:p>
        </w:tc>
      </w:tr>
      <w:tr>
        <w:trPr>
          <w:cantSplit/>
        </w:trPr>
        <w:tc>
          <w:tcPr>
            <w:tcW w:type="dxa" w:w="187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Carga</w:t>
            </w:r>
          </w:p>
        </w:tc>
        <w:tc>
          <w:tcPr>
            <w:tcW w:type="dxa" w:w="324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BL, packing list, certificados y factura.</w:t>
            </w:r>
          </w:p>
        </w:tc>
        <w:tc>
          <w:tcPr>
            <w:tcW w:type="dxa" w:w="51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Confirmar producto, variedad, cantidad y unidad.</w:t>
            </w:r>
          </w:p>
        </w:tc>
      </w:tr>
      <w:tr>
        <w:trPr>
          <w:cantSplit/>
        </w:trPr>
        <w:tc>
          <w:tcPr>
            <w:tcW w:type="dxa" w:w="187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Embarque y descarga</w:t>
            </w:r>
          </w:p>
        </w:tc>
        <w:tc>
          <w:tcPr>
            <w:tcW w:type="dxa" w:w="324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BL, booking, tracking y documentos de transporte.</w:t>
            </w:r>
          </w:p>
        </w:tc>
        <w:tc>
          <w:tcPr>
            <w:tcW w:type="dxa" w:w="51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Distinguir fecha real de ETA y registrar la fuente.</w:t>
            </w:r>
          </w:p>
        </w:tc>
      </w:tr>
      <w:tr>
        <w:trPr>
          <w:cantSplit/>
        </w:trPr>
        <w:tc>
          <w:tcPr>
            <w:tcW w:type="dxa" w:w="187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Claim number</w:t>
            </w:r>
          </w:p>
        </w:tc>
        <w:tc>
          <w:tcPr>
            <w:tcW w:type="dxa" w:w="324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Carta, BL, plataforma de origen o comunicación recibida.</w:t>
            </w:r>
          </w:p>
        </w:tc>
        <w:tc>
          <w:tcPr>
            <w:tcW w:type="dxa" w:w="51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Permitir ausencia si todavía no está disponible.</w:t>
            </w:r>
          </w:p>
        </w:tc>
      </w:tr>
      <w:tr>
        <w:trPr>
          <w:cantSplit/>
        </w:trPr>
        <w:tc>
          <w:tcPr>
            <w:tcW w:type="dxa" w:w="187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Inspector o surveyor</w:t>
            </w:r>
          </w:p>
        </w:tc>
        <w:tc>
          <w:tcPr>
            <w:tcW w:type="dxa" w:w="324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Reporte de inspección, QC o comunicación.</w:t>
            </w:r>
          </w:p>
        </w:tc>
        <w:tc>
          <w:tcPr>
            <w:tcW w:type="dxa" w:w="511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Confirmar persona o empresa y asociarla al caso.</w:t>
            </w:r>
          </w:p>
        </w:tc>
      </w:tr>
      <w:tr>
        <w:trPr>
          <w:cantSplit/>
        </w:trPr>
        <w:tc>
          <w:tcPr>
            <w:tcW w:type="dxa" w:w="187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Prescripción</w:t>
            </w:r>
          </w:p>
        </w:tc>
        <w:tc>
          <w:tcPr>
            <w:tcW w:type="dxa" w:w="324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Fecha operativa, jurisdicción y regla configurada.</w:t>
            </w:r>
          </w:p>
        </w:tc>
        <w:tc>
          <w:tcPr>
            <w:tcW w:type="dxa" w:w="511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Mostrar fecha base, plazo aplicado, fecha límite y nivel de riesgo.</w:t>
            </w:r>
          </w:p>
        </w:tc>
      </w:tr>
    </w:tbl>
    <w:p>
      <w:pPr>
        <w:spacing w:after="20"/>
      </w:pPr>
    </w:p>
    <w:p>
      <w:pPr>
        <w:pStyle w:val="Heading2"/>
        <w:keepNext/>
        <w:spacing w:before="200" w:after="100"/>
      </w:pPr>
      <w:r>
        <w:rPr>
          <w:rFonts w:ascii="Aptos" w:hAnsi="Aptos"/>
          <w:b/>
          <w:i w:val="0"/>
          <w:color w:val="182A46"/>
          <w:sz w:val="23"/>
        </w:rPr>
        <w:t>8.7 Resumen, tipo de caso, causa y mérito</w:t>
      </w:r>
    </w:p>
    <w:p>
      <w:pPr>
        <w:pStyle w:val="BodyText"/>
        <w:spacing w:before="0" w:after="80" w:line="269" w:lineRule="auto"/>
      </w:pPr>
      <w:r>
        <w:rPr>
          <w:rFonts w:ascii="Aptos" w:hAnsi="Aptos"/>
          <w:b w:val="0"/>
          <w:i w:val="0"/>
          <w:color w:val="182A46"/>
          <w:sz w:val="21"/>
        </w:rPr>
        <w:t>El sistema propone un resumen breve de lo ocurrido, una clasificación de tipo de caso y una causa potencial. La propuesta debe estar acompañada por los documentos que la sustentan y por una recomendación preliminar de mérito. El handler confirma o modifica cada elemento.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15"/>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Elemento</w:t>
            </w:r>
          </w:p>
        </w:tc>
        <w:tc>
          <w:tcPr>
            <w:tcW w:type="dxa" w:w="8208"/>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Salida esperada</w:t>
            </w:r>
          </w:p>
        </w:tc>
      </w:tr>
      <w:tr>
        <w:trPr>
          <w:cantSplit/>
        </w:trPr>
        <w:tc>
          <w:tcPr>
            <w:tcW w:type="dxa" w:w="2015"/>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Resumen</w:t>
            </w:r>
          </w:p>
        </w:tc>
        <w:tc>
          <w:tcPr>
            <w:tcW w:type="dxa" w:w="820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Narración breve, clara y editable que conecte embarque, daño, inspección y resultado comercial.</w:t>
            </w:r>
          </w:p>
        </w:tc>
      </w:tr>
      <w:tr>
        <w:trPr>
          <w:cantSplit/>
        </w:trPr>
        <w:tc>
          <w:tcPr>
            <w:tcW w:type="dxa" w:w="2015"/>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Tipo de caso</w:t>
            </w:r>
          </w:p>
        </w:tc>
        <w:tc>
          <w:tcPr>
            <w:tcW w:type="dxa" w:w="820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Categoría propuesta según antecedentes disponibles, con posibilidad de corrección.</w:t>
            </w:r>
          </w:p>
        </w:tc>
      </w:tr>
      <w:tr>
        <w:trPr>
          <w:cantSplit/>
        </w:trPr>
        <w:tc>
          <w:tcPr>
            <w:tcW w:type="dxa" w:w="2015"/>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Causa potencial</w:t>
            </w:r>
          </w:p>
        </w:tc>
        <w:tc>
          <w:tcPr>
            <w:tcW w:type="dxa" w:w="820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Hipótesis de daño o siniestro, no una conclusión jurídica definitiva.</w:t>
            </w:r>
          </w:p>
        </w:tc>
      </w:tr>
      <w:tr>
        <w:trPr>
          <w:cantSplit/>
        </w:trPr>
        <w:tc>
          <w:tcPr>
            <w:tcW w:type="dxa" w:w="2015"/>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Sustento</w:t>
            </w:r>
          </w:p>
        </w:tc>
        <w:tc>
          <w:tcPr>
            <w:tcW w:type="dxa" w:w="820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Lista de documentos y datos que sostienen la hipótesis.</w:t>
            </w:r>
          </w:p>
        </w:tc>
      </w:tr>
      <w:tr>
        <w:trPr>
          <w:cantSplit/>
        </w:trPr>
        <w:tc>
          <w:tcPr>
            <w:tcW w:type="dxa" w:w="2015"/>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Mérito</w:t>
            </w:r>
          </w:p>
        </w:tc>
        <w:tc>
          <w:tcPr>
            <w:tcW w:type="dxa" w:w="820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Recomendación para revisión humana, con nivel o explicación de señales relevantes.</w:t>
            </w:r>
          </w:p>
        </w:tc>
      </w:tr>
    </w:tbl>
    <w:p>
      <w:pPr>
        <w:spacing w:after="20"/>
      </w:pPr>
    </w:p>
    <w:p>
      <w:pPr>
        <w:pStyle w:val="Heading1"/>
        <w:keepNext/>
        <w:spacing w:before="300" w:after="100"/>
      </w:pPr>
      <w:r>
        <w:rPr>
          <w:rFonts w:ascii="Aptos" w:hAnsi="Aptos"/>
          <w:b/>
          <w:i w:val="0"/>
          <w:color w:val="182A46"/>
          <w:sz w:val="30"/>
        </w:rPr>
        <w:t>9 Cálculo automatizado de pérdida</w:t>
      </w:r>
    </w:p>
    <w:p>
      <w:pPr>
        <w:pStyle w:val="BodyText"/>
        <w:spacing w:before="0" w:after="120" w:line="269" w:lineRule="auto"/>
      </w:pPr>
      <w:r>
        <w:rPr>
          <w:rFonts w:ascii="Aptos" w:hAnsi="Aptos"/>
          <w:b w:val="0"/>
          <w:i w:val="0"/>
          <w:color w:val="182A46"/>
          <w:sz w:val="21"/>
        </w:rPr>
        <w:t>El cálculo debe ser reproducible y explicable. La plataforma puede calcular automáticamente con los datos disponibles, pero la selección del criterio aplicable y la aprobación del resultado corresponden al handler. Cada resultado debe conservar sus entradas, fuente, moneda, fecha de cálculo y justificación.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448"/>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Método</w:t>
            </w:r>
          </w:p>
        </w:tc>
        <w:tc>
          <w:tcPr>
            <w:tcW w:type="dxa" w:w="468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Lógica funcional a validar</w:t>
            </w:r>
          </w:p>
        </w:tc>
        <w:tc>
          <w:tcPr>
            <w:tcW w:type="dxa" w:w="3096"/>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Datos que necesita</w:t>
            </w:r>
          </w:p>
        </w:tc>
      </w:tr>
      <w:tr>
        <w:trPr>
          <w:cantSplit/>
        </w:trPr>
        <w:tc>
          <w:tcPr>
            <w:tcW w:type="dxa" w:w="24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Embarque versus embarque comparable</w:t>
            </w:r>
          </w:p>
        </w:tc>
        <w:tc>
          <w:tcPr>
            <w:tcW w:type="dxa" w:w="468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Comparar el valor neto esperado del embarque comparable con el valor neto obtenido por el embarque afectado.</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Liquidación afectada, liquidación comparable, unidades, producto, moneda y ajustes.</w:t>
            </w:r>
          </w:p>
        </w:tc>
      </w:tr>
      <w:tr>
        <w:trPr>
          <w:cantSplit/>
        </w:trPr>
        <w:tc>
          <w:tcPr>
            <w:tcW w:type="dxa" w:w="24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Embarque versus reporte de mercado</w:t>
            </w:r>
          </w:p>
        </w:tc>
        <w:tc>
          <w:tcPr>
            <w:tcW w:type="dxa" w:w="468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Comparar valor esperado según mercado con el resultado neto de la liquidación afectada.</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Reporte de mercado, fecha y plaza, liquidación, unidad, moneda y ajustes.</w:t>
            </w:r>
          </w:p>
        </w:tc>
      </w:tr>
      <w:tr>
        <w:trPr>
          <w:cantSplit/>
        </w:trPr>
        <w:tc>
          <w:tcPr>
            <w:tcW w:type="dxa" w:w="24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Factura versus venta o liquidación</w:t>
            </w:r>
          </w:p>
        </w:tc>
        <w:tc>
          <w:tcPr>
            <w:tcW w:type="dxa" w:w="468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Comparar valor factura con el valor de venta o liquidación efectivamente obtenido.</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Factura, venta o liquidación, cantidad, moneda y costos aplicables.</w:t>
            </w:r>
          </w:p>
        </w:tc>
      </w:tr>
      <w:tr>
        <w:trPr>
          <w:cantSplit/>
        </w:trPr>
        <w:tc>
          <w:tcPr>
            <w:tcW w:type="dxa" w:w="244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Venta a firme y nota de crédito</w:t>
            </w:r>
          </w:p>
        </w:tc>
        <w:tc>
          <w:tcPr>
            <w:tcW w:type="dxa" w:w="468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Cuando aplique, considerar factura, venta firme y nota de crédito con regla de signo y límite confirmada.</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Factura, venta firme, nota de crédito y motivo de ajuste.</w:t>
            </w:r>
          </w:p>
        </w:tc>
      </w:tr>
      <w:tr>
        <w:trPr>
          <w:cantSplit/>
        </w:trPr>
        <w:tc>
          <w:tcPr>
            <w:tcW w:type="dxa" w:w="244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Ítems adicionales</w:t>
            </w:r>
          </w:p>
        </w:tc>
        <w:tc>
          <w:tcPr>
            <w:tcW w:type="dxa" w:w="468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Permitir incorporar conceptos autorizados, dejando concepto, monto, moneda y respaldo.</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Monto, concepto, documento de respaldo y justificación.</w:t>
            </w:r>
          </w:p>
        </w:tc>
      </w:tr>
    </w:tbl>
    <w:p>
      <w:pPr>
        <w:spacing w:after="20"/>
      </w:pPr>
    </w:p>
    <w:p>
      <w:pPr>
        <w:pStyle w:val="Heading2"/>
        <w:keepNext/>
        <w:spacing w:before="200" w:after="100"/>
      </w:pPr>
      <w:r>
        <w:rPr>
          <w:rFonts w:ascii="Aptos" w:hAnsi="Aptos"/>
          <w:b/>
          <w:i w:val="0"/>
          <w:color w:val="182A46"/>
          <w:sz w:val="23"/>
        </w:rPr>
        <w:t>9.1 Reglas de cálculo que Sauvalle debe confirmar</w:t>
      </w:r>
    </w:p>
    <w:p>
      <w:pPr>
        <w:pStyle w:val="ListBullet"/>
        <w:spacing w:after="60" w:line="259" w:lineRule="auto"/>
      </w:pPr>
      <w:r>
        <w:rPr>
          <w:rFonts w:ascii="Aptos" w:hAnsi="Aptos"/>
          <w:b w:val="0"/>
          <w:i w:val="0"/>
          <w:color w:val="182A46"/>
          <w:sz w:val="20"/>
        </w:rPr>
        <w:t>Qué valor se considera base: bruto, neto, liquidado, vendido o asegurado.</w:t>
      </w:r>
    </w:p>
    <w:p>
      <w:pPr>
        <w:pStyle w:val="ListBullet"/>
        <w:spacing w:after="60" w:line="259" w:lineRule="auto"/>
      </w:pPr>
      <w:r>
        <w:rPr>
          <w:rFonts w:ascii="Aptos" w:hAnsi="Aptos"/>
          <w:b w:val="0"/>
          <w:i w:val="0"/>
          <w:color w:val="182A46"/>
          <w:sz w:val="20"/>
        </w:rPr>
        <w:t>Cómo se tratan flete, gastos, comisiones, salvamento, descuentos, impuestos y otros ítems.</w:t>
      </w:r>
    </w:p>
    <w:p>
      <w:pPr>
        <w:pStyle w:val="ListBullet"/>
        <w:spacing w:after="60" w:line="259" w:lineRule="auto"/>
      </w:pPr>
      <w:r>
        <w:rPr>
          <w:rFonts w:ascii="Aptos" w:hAnsi="Aptos"/>
          <w:b w:val="0"/>
          <w:i w:val="0"/>
          <w:color w:val="182A46"/>
          <w:sz w:val="20"/>
        </w:rPr>
        <w:t>Qué ocurre cuando el resultado es negativo, cero o mayor al valor de factura.</w:t>
      </w:r>
    </w:p>
    <w:p>
      <w:pPr>
        <w:pStyle w:val="ListBullet"/>
        <w:spacing w:after="60" w:line="259" w:lineRule="auto"/>
      </w:pPr>
      <w:r>
        <w:rPr>
          <w:rFonts w:ascii="Aptos" w:hAnsi="Aptos"/>
          <w:b w:val="0"/>
          <w:i w:val="0"/>
          <w:color w:val="182A46"/>
          <w:sz w:val="20"/>
        </w:rPr>
        <w:t>Qué unidades deben convertirse antes de comparar y qué tolerancias son aceptables.</w:t>
      </w:r>
    </w:p>
    <w:p>
      <w:pPr>
        <w:pStyle w:val="ListBullet"/>
        <w:spacing w:after="60" w:line="259" w:lineRule="auto"/>
      </w:pPr>
      <w:r>
        <w:rPr>
          <w:rFonts w:ascii="Aptos" w:hAnsi="Aptos"/>
          <w:b w:val="0"/>
          <w:i w:val="0"/>
          <w:color w:val="182A46"/>
          <w:sz w:val="20"/>
        </w:rPr>
        <w:t>Cómo se aplican las notas de crédito y si reducen siempre la pérdida o dependen del motivo.</w:t>
      </w:r>
    </w:p>
    <w:p>
      <w:pPr>
        <w:pStyle w:val="ListBullet"/>
        <w:spacing w:after="60" w:line="259" w:lineRule="auto"/>
      </w:pPr>
      <w:r>
        <w:rPr>
          <w:rFonts w:ascii="Aptos" w:hAnsi="Aptos"/>
          <w:b w:val="0"/>
          <w:i w:val="0"/>
          <w:color w:val="182A46"/>
          <w:sz w:val="20"/>
        </w:rPr>
        <w:t>Qué método debe sugerirse cuando hay más de un cálculo disponible y quién puede cambiarlo.</w:t>
      </w:r>
    </w:p>
    <w:p>
      <w:pPr>
        <w:pStyle w:val="ListBullet"/>
        <w:spacing w:after="60" w:line="259" w:lineRule="auto"/>
      </w:pPr>
      <w:r>
        <w:rPr>
          <w:rFonts w:ascii="Aptos" w:hAnsi="Aptos"/>
          <w:b w:val="0"/>
          <w:i w:val="0"/>
          <w:color w:val="182A46"/>
          <w:sz w:val="20"/>
        </w:rPr>
        <w:t>Cuál es la precisión de redondeo y el comportamiento cuando falta un tipo de cambio.</w:t>
      </w:r>
    </w:p>
    <w:p>
      <w:pPr>
        <w:pStyle w:val="Heading2"/>
        <w:keepNext/>
        <w:spacing w:before="200" w:after="100"/>
      </w:pPr>
      <w:r>
        <w:rPr>
          <w:rFonts w:ascii="Aptos" w:hAnsi="Aptos"/>
          <w:b/>
          <w:i w:val="0"/>
          <w:color w:val="182A46"/>
          <w:sz w:val="23"/>
        </w:rPr>
        <w:t>9.2 Monedas y tipo de cambio</w:t>
      </w:r>
    </w:p>
    <w:p>
      <w:pPr>
        <w:pStyle w:val="BodyText"/>
        <w:spacing w:before="0" w:after="80" w:line="269" w:lineRule="auto"/>
      </w:pPr>
      <w:r>
        <w:rPr>
          <w:rFonts w:ascii="Aptos" w:hAnsi="Aptos"/>
          <w:b w:val="0"/>
          <w:i w:val="0"/>
          <w:color w:val="182A46"/>
          <w:sz w:val="21"/>
        </w:rPr>
        <w:t>La base contractual considera USD y CLP. La necesidad posterior de incorporar EUR y conversión automática o configurable debe ser validada como evolución. Si se implementa, la ficha debe conservar moneda de origen, monto original, fecha aplicada, fuente o valor manual del tipo de cambio y monto convertido.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520"/>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Situación</w:t>
            </w:r>
          </w:p>
        </w:tc>
        <w:tc>
          <w:tcPr>
            <w:tcW w:type="dxa" w:w="7703"/>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Comportamiento esperado</w:t>
            </w:r>
          </w:p>
        </w:tc>
      </w:tr>
      <w:tr>
        <w:trPr>
          <w:cantSplit/>
        </w:trPr>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Misma moneda</w:t>
            </w:r>
          </w:p>
        </w:tc>
        <w:tc>
          <w:tcPr>
            <w:tcW w:type="dxa" w:w="7703"/>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Comparar directamente, registrando la moneda.</w:t>
            </w:r>
          </w:p>
        </w:tc>
      </w:tr>
      <w:tr>
        <w:trPr>
          <w:cantSplit/>
        </w:trPr>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Monedas distintas</w:t>
            </w:r>
          </w:p>
        </w:tc>
        <w:tc>
          <w:tcPr>
            <w:tcW w:type="dxa" w:w="7703"/>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Exigir fecha y tipo de cambio o bloquear el cálculo hasta completar el dato.</w:t>
            </w:r>
          </w:p>
        </w:tc>
      </w:tr>
      <w:tr>
        <w:trPr>
          <w:cantSplit/>
        </w:trPr>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Tipo de cambio manual</w:t>
            </w:r>
          </w:p>
        </w:tc>
        <w:tc>
          <w:tcPr>
            <w:tcW w:type="dxa" w:w="7703"/>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Permitir ingreso por usuario autorizado y dejarlo en la trazabilidad.</w:t>
            </w:r>
          </w:p>
        </w:tc>
      </w:tr>
      <w:tr>
        <w:trPr>
          <w:cantSplit/>
        </w:trPr>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Tipo de cambio automático</w:t>
            </w:r>
          </w:p>
        </w:tc>
        <w:tc>
          <w:tcPr>
            <w:tcW w:type="dxa" w:w="7703"/>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Solo si se define fuente, disponibilidad, redondeo y tratamiento de correcciones.</w:t>
            </w:r>
          </w:p>
        </w:tc>
      </w:tr>
    </w:tbl>
    <w:p>
      <w:pPr>
        <w:spacing w:after="20"/>
      </w:pPr>
    </w:p>
    <w:p>
      <w:pPr>
        <w:pStyle w:val="Heading1"/>
        <w:keepNext/>
        <w:spacing w:before="300" w:after="100"/>
      </w:pPr>
      <w:r>
        <w:rPr>
          <w:rFonts w:ascii="Aptos" w:hAnsi="Aptos"/>
          <w:b/>
          <w:i w:val="0"/>
          <w:color w:val="182A46"/>
          <w:sz w:val="30"/>
        </w:rPr>
        <w:t>10 Templates base y mantenedor</w:t>
      </w:r>
    </w:p>
    <w:p>
      <w:pPr>
        <w:pStyle w:val="BodyText"/>
        <w:spacing w:before="0" w:after="100" w:line="269" w:lineRule="auto"/>
      </w:pPr>
      <w:r>
        <w:rPr>
          <w:rFonts w:ascii="Aptos" w:hAnsi="Aptos"/>
          <w:b w:val="0"/>
          <w:i w:val="0"/>
          <w:color w:val="182A46"/>
          <w:sz w:val="21"/>
        </w:rPr>
        <w:t>El alcance de este documento deja los templates en un conjunto base parametrizado. No se propone un editor libre de documentos. El mantenedor debe permitir administrar versión, vigencia, nombre, tipo de documento, variables habilitadas y estado activo, con control de cambios.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Template base</w:t>
            </w:r>
          </w:p>
        </w:tc>
        <w:tc>
          <w:tcPr>
            <w:tcW w:type="dxa" w:w="5544"/>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Información que puede completar</w:t>
            </w:r>
          </w:p>
        </w:tc>
        <w:tc>
          <w:tcPr>
            <w:tcW w:type="dxa" w:w="288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Control necesario</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Claim Notice</w:t>
            </w:r>
          </w:p>
        </w:tc>
        <w:tc>
          <w:tcPr>
            <w:tcW w:type="dxa" w:w="554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Referencia, asegurado, oponente, nave, viaje, contenedor, fechas, carga y antecedentes del aviso.</w:t>
            </w:r>
          </w:p>
        </w:tc>
        <w:tc>
          <w:tcPr>
            <w:tcW w:type="dxa" w:w="288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Revisión y aprobación del handler antes de descargar.</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AoR</w:t>
            </w:r>
          </w:p>
        </w:tc>
        <w:tc>
          <w:tcPr>
            <w:tcW w:type="dxa" w:w="554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Datos del caso, aviso, partes, embarque y antecedentes confirmados.</w:t>
            </w:r>
          </w:p>
        </w:tc>
        <w:tc>
          <w:tcPr>
            <w:tcW w:type="dxa" w:w="288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Usar solo campos confirmados y conservar versión.</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Harvest</w:t>
            </w:r>
          </w:p>
        </w:tc>
        <w:tc>
          <w:tcPr>
            <w:tcW w:type="dxa" w:w="554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Datos de cosecha, producto, exportador, fechas y vínculo con el caso, cuando existan.</w:t>
            </w:r>
          </w:p>
        </w:tc>
        <w:tc>
          <w:tcPr>
            <w:tcW w:type="dxa" w:w="288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Marcar campos no disponibles y permitir corrección.</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LoA</w:t>
            </w:r>
          </w:p>
        </w:tc>
        <w:tc>
          <w:tcPr>
            <w:tcW w:type="dxa" w:w="554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Partes, referencia, evento y datos que estén disponibles en el expediente.</w:t>
            </w:r>
          </w:p>
        </w:tc>
        <w:tc>
          <w:tcPr>
            <w:tcW w:type="dxa" w:w="288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Aprobación humana y control de versión.</w:t>
            </w:r>
          </w:p>
        </w:tc>
      </w:tr>
    </w:tbl>
    <w:p>
      <w:pPr>
        <w:spacing w:after="20"/>
      </w:pPr>
    </w:p>
    <w:p>
      <w:pPr>
        <w:pStyle w:val="BodyText"/>
        <w:spacing w:before="0" w:after="100" w:line="269" w:lineRule="auto"/>
      </w:pPr>
      <w:r>
        <w:rPr>
          <w:rFonts w:ascii="Aptos" w:hAnsi="Aptos"/>
          <w:b w:val="0"/>
          <w:i w:val="0"/>
          <w:color w:val="182A46"/>
          <w:sz w:val="21"/>
        </w:rPr>
        <w:t>Fuera de esta base quedan SUBRO, certificados de destrucción y cualquier documento adicional no explicitado en el alcance contratado, salvo que FIS confirme su incorporación mediante cambio de alcance. Los formatos oficiales, textos legales, campos obligatorios y reglas de firma deben ser entregados o validados por la empresa.</w:t>
      </w:r>
    </w:p>
    <w:p>
      <w:pPr>
        <w:pStyle w:val="Heading2"/>
        <w:keepNext/>
        <w:spacing w:before="200" w:after="100"/>
      </w:pPr>
      <w:r>
        <w:rPr>
          <w:rFonts w:ascii="Aptos" w:hAnsi="Aptos"/>
          <w:b/>
          <w:i w:val="0"/>
          <w:color w:val="182A46"/>
          <w:sz w:val="23"/>
        </w:rPr>
        <w:t>10.1 Mantenedor de templates</w:t>
      </w:r>
    </w:p>
    <w:p>
      <w:pPr>
        <w:pStyle w:val="ListBullet"/>
        <w:spacing w:after="60" w:line="259" w:lineRule="auto"/>
      </w:pPr>
      <w:r>
        <w:rPr>
          <w:rFonts w:ascii="Aptos" w:hAnsi="Aptos"/>
          <w:b w:val="0"/>
          <w:i w:val="0"/>
          <w:color w:val="182A46"/>
          <w:sz w:val="20"/>
        </w:rPr>
        <w:t>Crear una versión base parametrizada con variables provenientes de la ficha del caso.</w:t>
      </w:r>
    </w:p>
    <w:p>
      <w:pPr>
        <w:pStyle w:val="ListBullet"/>
        <w:spacing w:after="60" w:line="259" w:lineRule="auto"/>
      </w:pPr>
      <w:r>
        <w:rPr>
          <w:rFonts w:ascii="Aptos" w:hAnsi="Aptos"/>
          <w:b w:val="0"/>
          <w:i w:val="0"/>
          <w:color w:val="182A46"/>
          <w:sz w:val="20"/>
        </w:rPr>
        <w:t>Activar o desactivar una versión sin borrar versiones anteriores.</w:t>
      </w:r>
    </w:p>
    <w:p>
      <w:pPr>
        <w:pStyle w:val="ListBullet"/>
        <w:spacing w:after="60" w:line="259" w:lineRule="auto"/>
      </w:pPr>
      <w:r>
        <w:rPr>
          <w:rFonts w:ascii="Aptos" w:hAnsi="Aptos"/>
          <w:b w:val="0"/>
          <w:i w:val="0"/>
          <w:color w:val="182A46"/>
          <w:sz w:val="20"/>
        </w:rPr>
        <w:t>Validar tokens desconocidos o campos vacíos antes de generar.</w:t>
      </w:r>
    </w:p>
    <w:p>
      <w:pPr>
        <w:pStyle w:val="ListBullet"/>
        <w:spacing w:after="60" w:line="259" w:lineRule="auto"/>
      </w:pPr>
      <w:r>
        <w:rPr>
          <w:rFonts w:ascii="Aptos" w:hAnsi="Aptos"/>
          <w:b w:val="0"/>
          <w:i w:val="0"/>
          <w:color w:val="182A46"/>
          <w:sz w:val="20"/>
        </w:rPr>
        <w:t>Mostrar una vista previa y permitir descargar el documento resultante.</w:t>
      </w:r>
    </w:p>
    <w:p>
      <w:pPr>
        <w:pStyle w:val="ListBullet"/>
        <w:spacing w:after="60" w:line="259" w:lineRule="auto"/>
      </w:pPr>
      <w:r>
        <w:rPr>
          <w:rFonts w:ascii="Aptos" w:hAnsi="Aptos"/>
          <w:b w:val="0"/>
          <w:i w:val="0"/>
          <w:color w:val="182A46"/>
          <w:sz w:val="20"/>
        </w:rPr>
        <w:t>Registrar quién publicó, cambió o desactivó una versión y cuándo.</w:t>
      </w:r>
    </w:p>
    <w:p>
      <w:pPr>
        <w:pStyle w:val="ListBullet"/>
        <w:spacing w:after="60" w:line="259" w:lineRule="auto"/>
      </w:pPr>
      <w:r>
        <w:rPr>
          <w:rFonts w:ascii="Aptos" w:hAnsi="Aptos"/>
          <w:b w:val="0"/>
          <w:i w:val="0"/>
          <w:color w:val="182A46"/>
          <w:sz w:val="20"/>
        </w:rPr>
        <w:t>Mantener la aprobación del handler como paso obligatorio antes de usar la carta en el expediente final.</w:t>
      </w:r>
    </w:p>
    <w:p>
      <w:pPr>
        <w:pStyle w:val="Heading1"/>
        <w:keepNext/>
        <w:spacing w:before="300" w:after="100"/>
      </w:pPr>
      <w:r>
        <w:rPr>
          <w:rFonts w:ascii="Aptos" w:hAnsi="Aptos"/>
          <w:b/>
          <w:i w:val="0"/>
          <w:color w:val="182A46"/>
          <w:sz w:val="30"/>
        </w:rPr>
        <w:t>11 Memoria histórica y migración desde Excel</w:t>
      </w:r>
    </w:p>
    <w:p>
      <w:pPr>
        <w:pStyle w:val="BodyText"/>
        <w:spacing w:before="0" w:after="120" w:line="269" w:lineRule="auto"/>
      </w:pPr>
      <w:r>
        <w:rPr>
          <w:rFonts w:ascii="Aptos" w:hAnsi="Aptos"/>
          <w:b w:val="0"/>
          <w:i w:val="0"/>
          <w:color w:val="182A46"/>
          <w:sz w:val="21"/>
        </w:rPr>
        <w:t>La historia debe quedar incorporada como memoria consultable de la plataforma. El usuario no debería tener que volver a cargar el Excel para que los registros históricos estén disponibles en el demo o en una instalación inicial. La memoria debe permanecer diferenciada de los casos activos y permitir búsquedas y reportes.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15"/>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Aspecto</w:t>
            </w:r>
          </w:p>
        </w:tc>
        <w:tc>
          <w:tcPr>
            <w:tcW w:type="dxa" w:w="8208"/>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Definición funcional</w:t>
            </w:r>
          </w:p>
        </w:tc>
      </w:tr>
      <w:tr>
        <w:trPr>
          <w:cantSplit/>
        </w:trPr>
        <w:tc>
          <w:tcPr>
            <w:tcW w:type="dxa" w:w="2015"/>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Carga inicial</w:t>
            </w:r>
          </w:p>
        </w:tc>
        <w:tc>
          <w:tcPr>
            <w:tcW w:type="dxa" w:w="820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Incorporar el histórico entregado por FIS como parte de la puesta en marcha, conservando el archivo fuente y el origen de cada registro.</w:t>
            </w:r>
          </w:p>
        </w:tc>
      </w:tr>
      <w:tr>
        <w:trPr>
          <w:cantSplit/>
        </w:trPr>
        <w:tc>
          <w:tcPr>
            <w:tcW w:type="dxa" w:w="2015"/>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Volumen</w:t>
            </w:r>
          </w:p>
        </w:tc>
        <w:tc>
          <w:tcPr>
            <w:tcW w:type="dxa" w:w="820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El contrato refiere aproximadamente 4.240 registros en 39 hojas; anteriormente se mencionó un universo cercano a 1.000 casos. El archivo y volumen definitivo deben ser confirmados.</w:t>
            </w:r>
          </w:p>
        </w:tc>
      </w:tr>
      <w:tr>
        <w:trPr>
          <w:cantSplit/>
        </w:trPr>
        <w:tc>
          <w:tcPr>
            <w:tcW w:type="dxa" w:w="2015"/>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Consulta</w:t>
            </w:r>
          </w:p>
        </w:tc>
        <w:tc>
          <w:tcPr>
            <w:tcW w:type="dxa" w:w="820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Buscar por referencia, cliente, nave, contenedor, handler, estado y otros campos disponibles.</w:t>
            </w:r>
          </w:p>
        </w:tc>
      </w:tr>
      <w:tr>
        <w:trPr>
          <w:cantSplit/>
        </w:trPr>
        <w:tc>
          <w:tcPr>
            <w:tcW w:type="dxa" w:w="2015"/>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Separación</w:t>
            </w:r>
          </w:p>
        </w:tc>
        <w:tc>
          <w:tcPr>
            <w:tcW w:type="dxa" w:w="820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Los registros históricos no deben alterar estados, indicadores o tareas de casos activos.</w:t>
            </w:r>
          </w:p>
        </w:tc>
      </w:tr>
      <w:tr>
        <w:trPr>
          <w:cantSplit/>
        </w:trPr>
        <w:tc>
          <w:tcPr>
            <w:tcW w:type="dxa" w:w="2015"/>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Duplicados</w:t>
            </w:r>
          </w:p>
        </w:tc>
        <w:tc>
          <w:tcPr>
            <w:tcW w:type="dxa" w:w="820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Advertir referencias repetidas y conservar el origen; no fusionar ni eliminar automáticamente sin regla aprobada.</w:t>
            </w:r>
          </w:p>
        </w:tc>
      </w:tr>
      <w:tr>
        <w:trPr>
          <w:cantSplit/>
        </w:trPr>
        <w:tc>
          <w:tcPr>
            <w:tcW w:type="dxa" w:w="2015"/>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Actualizaciones</w:t>
            </w:r>
          </w:p>
        </w:tc>
        <w:tc>
          <w:tcPr>
            <w:tcW w:type="dxa" w:w="8208"/>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Si se vuelve a importar una versión, debe existir un criterio visible para identificar qué se incorpora, qué se actualiza y qué queda sin cambios.</w:t>
            </w:r>
          </w:p>
        </w:tc>
      </w:tr>
      <w:tr>
        <w:trPr>
          <w:cantSplit/>
        </w:trPr>
        <w:tc>
          <w:tcPr>
            <w:tcW w:type="dxa" w:w="2015"/>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Exportación</w:t>
            </w:r>
          </w:p>
        </w:tc>
        <w:tc>
          <w:tcPr>
            <w:tcW w:type="dxa" w:w="8208"/>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Permitir exportar el historial o un resumen de resultados cuando esté definido el formato objetivo.</w:t>
            </w:r>
          </w:p>
        </w:tc>
      </w:tr>
    </w:tbl>
    <w:p>
      <w:pPr>
        <w:spacing w:after="20"/>
      </w:pPr>
    </w:p>
    <w:p>
      <w:pPr>
        <w:pStyle w:val="Heading2"/>
        <w:keepNext/>
        <w:spacing w:before="200" w:after="100"/>
      </w:pPr>
      <w:r>
        <w:rPr>
          <w:rFonts w:ascii="Aptos" w:hAnsi="Aptos"/>
          <w:b/>
          <w:i w:val="0"/>
          <w:color w:val="182A46"/>
          <w:sz w:val="23"/>
        </w:rPr>
        <w:t>11.1 Campos históricos prioritarios</w:t>
      </w:r>
    </w:p>
    <w:p>
      <w:pPr>
        <w:pStyle w:val="BodyText"/>
        <w:spacing w:before="0" w:after="100" w:line="269" w:lineRule="auto"/>
      </w:pPr>
      <w:r>
        <w:rPr>
          <w:rFonts w:ascii="Aptos" w:hAnsi="Aptos"/>
          <w:b w:val="0"/>
          <w:i w:val="0"/>
          <w:color w:val="182A46"/>
          <w:sz w:val="21"/>
        </w:rPr>
        <w:t>La memoria debe mantener, cuando aparezcan en la planilla, referencia, contenedor, estado de faltantes, monto de pérdida, fecha de carga, fecha de descarga, viaje, surveyor, oponente, nave, asegurado y CS Claim Number. Si existen fechas de actualización, también deben conservarse para reconstruir la historia de gestión.</w:t>
      </w:r>
    </w:p>
    <w:p>
      <w:pPr>
        <w:pStyle w:val="Heading1"/>
        <w:keepNext/>
        <w:spacing w:before="300" w:after="100"/>
      </w:pPr>
      <w:r>
        <w:rPr>
          <w:rFonts w:ascii="Aptos" w:hAnsi="Aptos"/>
          <w:b/>
          <w:i w:val="0"/>
          <w:color w:val="182A46"/>
          <w:sz w:val="30"/>
        </w:rPr>
        <w:t>12 Seguimiento, avisos y agrupaciones</w:t>
      </w:r>
    </w:p>
    <w:p>
      <w:pPr>
        <w:pStyle w:val="BodyText"/>
        <w:spacing w:before="0" w:after="80" w:line="269" w:lineRule="auto"/>
      </w:pPr>
      <w:r>
        <w:rPr>
          <w:rFonts w:ascii="Aptos" w:hAnsi="Aptos"/>
          <w:b w:val="0"/>
          <w:i w:val="0"/>
          <w:color w:val="182A46"/>
          <w:sz w:val="21"/>
        </w:rPr>
        <w:t>El sistema debe hacer visible el trabajo pendiente. La funcionalidad de inactividad puede presentar una alerta cuando un caso no registra movimiento por más de 15 días, mostrando fecha del último movimiento y responsable. La regla exacta de calendario, exclusiones y destinatarios debe ser validada.</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16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Función</w:t>
            </w:r>
          </w:p>
        </w:tc>
        <w:tc>
          <w:tcPr>
            <w:tcW w:type="dxa" w:w="540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Resultado esperado</w:t>
            </w:r>
          </w:p>
        </w:tc>
        <w:tc>
          <w:tcPr>
            <w:tcW w:type="dxa" w:w="2664"/>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Alcance de revisión</w:t>
            </w:r>
          </w:p>
        </w:tc>
      </w:tr>
      <w:tr>
        <w:trPr>
          <w:cantSplit/>
        </w:trPr>
        <w:tc>
          <w:tcPr>
            <w:tcW w:type="dxa" w:w="216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Aviso de inactividad</w:t>
            </w:r>
          </w:p>
        </w:tc>
        <w:tc>
          <w:tcPr>
            <w:tcW w:type="dxa" w:w="54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Identifica casos sin movimiento por más de 15 días y los destaca en dashboard y ficha.</w:t>
            </w:r>
          </w:p>
        </w:tc>
        <w:tc>
          <w:tcPr>
            <w:tcW w:type="dxa" w:w="266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Validar días hábiles o corridos, estados excluidos y destinatarios.</w:t>
            </w:r>
          </w:p>
        </w:tc>
      </w:tr>
      <w:tr>
        <w:trPr>
          <w:cantSplit/>
        </w:trPr>
        <w:tc>
          <w:tcPr>
            <w:tcW w:type="dxa" w:w="216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Agrupación de nave y viaje</w:t>
            </w:r>
          </w:p>
        </w:tc>
        <w:tc>
          <w:tcPr>
            <w:tcW w:type="dxa" w:w="54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Detecta dos o más casos con la misma nave y viaje y muestra un resumen de volumen.</w:t>
            </w:r>
          </w:p>
        </w:tc>
        <w:tc>
          <w:tcPr>
            <w:tcW w:type="dxa" w:w="266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Es una evolución solicitada; confirmar si se incorpora al alcance.</w:t>
            </w:r>
          </w:p>
        </w:tc>
      </w:tr>
      <w:tr>
        <w:trPr>
          <w:cantSplit/>
        </w:trPr>
        <w:tc>
          <w:tcPr>
            <w:tcW w:type="dxa" w:w="216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Dashboard de cartera</w:t>
            </w:r>
          </w:p>
        </w:tc>
        <w:tc>
          <w:tcPr>
            <w:tcW w:type="dxa" w:w="54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Resume estados, pendientes, pérdida, prescripción y distribución por handler.</w:t>
            </w:r>
          </w:p>
        </w:tc>
        <w:tc>
          <w:tcPr>
            <w:tcW w:type="dxa" w:w="266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Confirmar indicadores y filtros de operación.</w:t>
            </w:r>
          </w:p>
        </w:tc>
      </w:tr>
      <w:tr>
        <w:trPr>
          <w:cantSplit/>
        </w:trPr>
        <w:tc>
          <w:tcPr>
            <w:tcW w:type="dxa" w:w="216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Benchmark por handler</w:t>
            </w:r>
          </w:p>
        </w:tc>
        <w:tc>
          <w:tcPr>
            <w:tcW w:type="dxa" w:w="54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Compara carga de casos, documentación pendiente, alertas, cálculo y tiempos.</w:t>
            </w:r>
          </w:p>
        </w:tc>
        <w:tc>
          <w:tcPr>
            <w:tcW w:type="dxa" w:w="266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6"/>
              </w:rPr>
              <w:t>Confirmar si es operativo, gerencial o ambos y qué período usa.</w:t>
            </w:r>
          </w:p>
        </w:tc>
      </w:tr>
    </w:tbl>
    <w:p>
      <w:pPr>
        <w:spacing w:after="20"/>
      </w:pPr>
    </w:p>
    <w:p>
      <w:pPr>
        <w:pStyle w:val="Heading1"/>
        <w:keepNext/>
        <w:spacing w:before="300" w:after="100"/>
      </w:pPr>
      <w:r>
        <w:rPr>
          <w:rFonts w:ascii="Aptos" w:hAnsi="Aptos"/>
          <w:b/>
          <w:i w:val="0"/>
          <w:color w:val="182A46"/>
          <w:sz w:val="30"/>
        </w:rPr>
        <w:t>13 Inspector y carta JSI</w:t>
      </w:r>
    </w:p>
    <w:p>
      <w:pPr>
        <w:pStyle w:val="BodyText"/>
        <w:spacing w:before="0" w:after="80" w:line="269" w:lineRule="auto"/>
      </w:pPr>
      <w:r>
        <w:rPr>
          <w:rFonts w:ascii="Aptos" w:hAnsi="Aptos"/>
          <w:b w:val="0"/>
          <w:i w:val="0"/>
          <w:color w:val="182A46"/>
          <w:sz w:val="21"/>
        </w:rPr>
        <w:t>El perfil Inspector no forma parte del núcleo contractual resumido, pero fue solicitado como una posible evolución. Si se aprueba, debe estar restringido exclusivamente a casos asignados por un usuario autorizado.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592"/>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Acceso del Inspector</w:t>
            </w:r>
          </w:p>
        </w:tc>
        <w:tc>
          <w:tcPr>
            <w:tcW w:type="dxa" w:w="7632"/>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Regla funcional</w:t>
            </w:r>
          </w:p>
        </w:tc>
      </w:tr>
      <w:tr>
        <w:trPr>
          <w:cantSplit/>
        </w:trPr>
        <w:tc>
          <w:tcPr>
            <w:tcW w:type="dxa" w:w="25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Búsqueda</w:t>
            </w:r>
          </w:p>
        </w:tc>
        <w:tc>
          <w:tcPr>
            <w:tcW w:type="dxa" w:w="76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Por referencia Intervent o número de contenedor, limitada a los casos asignados.</w:t>
            </w:r>
          </w:p>
        </w:tc>
      </w:tr>
      <w:tr>
        <w:trPr>
          <w:cantSplit/>
        </w:trPr>
        <w:tc>
          <w:tcPr>
            <w:tcW w:type="dxa" w:w="25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Fecha de inspección</w:t>
            </w:r>
          </w:p>
        </w:tc>
        <w:tc>
          <w:tcPr>
            <w:tcW w:type="dxa" w:w="76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Campo editable con fecha y trazabilidad.</w:t>
            </w:r>
          </w:p>
        </w:tc>
      </w:tr>
      <w:tr>
        <w:trPr>
          <w:cantSplit/>
        </w:trPr>
        <w:tc>
          <w:tcPr>
            <w:tcW w:type="dxa" w:w="25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Inspección conjunta</w:t>
            </w:r>
          </w:p>
        </w:tc>
        <w:tc>
          <w:tcPr>
            <w:tcW w:type="dxa" w:w="76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Valor sí o no respecto de participación de la naviera.</w:t>
            </w:r>
          </w:p>
        </w:tc>
      </w:tr>
      <w:tr>
        <w:trPr>
          <w:cantSplit/>
        </w:trPr>
        <w:tc>
          <w:tcPr>
            <w:tcW w:type="dxa" w:w="25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Observaciones</w:t>
            </w:r>
          </w:p>
        </w:tc>
        <w:tc>
          <w:tcPr>
            <w:tcW w:type="dxa" w:w="76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Recuadro de escritura libre para resumir lo observado.</w:t>
            </w:r>
          </w:p>
        </w:tc>
      </w:tr>
      <w:tr>
        <w:trPr>
          <w:cantSplit/>
        </w:trPr>
        <w:tc>
          <w:tcPr>
            <w:tcW w:type="dxa" w:w="25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Carta JSI</w:t>
            </w:r>
          </w:p>
        </w:tc>
        <w:tc>
          <w:tcPr>
            <w:tcW w:type="dxa" w:w="76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Acceso de descarga a la carta de notificación de inspección conjunta del caso.</w:t>
            </w:r>
          </w:p>
        </w:tc>
      </w:tr>
      <w:tr>
        <w:trPr>
          <w:cantSplit/>
        </w:trPr>
        <w:tc>
          <w:tcPr>
            <w:tcW w:type="dxa" w:w="25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Restricción</w:t>
            </w:r>
          </w:p>
        </w:tc>
        <w:tc>
          <w:tcPr>
            <w:tcW w:type="dxa" w:w="76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No ver casos no asignados, cálculos, mantenedores ni memoria completa.</w:t>
            </w:r>
          </w:p>
        </w:tc>
      </w:tr>
    </w:tbl>
    <w:p>
      <w:pPr>
        <w:spacing w:after="20"/>
      </w:pPr>
    </w:p>
    <w:p>
      <w:pPr>
        <w:pStyle w:val="Heading1"/>
        <w:keepNext/>
        <w:spacing w:before="300" w:after="100"/>
      </w:pPr>
      <w:r>
        <w:rPr>
          <w:rFonts w:ascii="Aptos" w:hAnsi="Aptos"/>
          <w:b/>
          <w:i w:val="0"/>
          <w:color w:val="182A46"/>
          <w:sz w:val="30"/>
        </w:rPr>
        <w:t>14 Traspaso a FIS y Lawgistic</w:t>
      </w:r>
    </w:p>
    <w:p>
      <w:pPr>
        <w:pStyle w:val="BodyText"/>
        <w:spacing w:before="0" w:after="100" w:line="269" w:lineRule="auto"/>
      </w:pPr>
      <w:r>
        <w:rPr>
          <w:rFonts w:ascii="Aptos" w:hAnsi="Aptos"/>
          <w:b w:val="0"/>
          <w:i w:val="0"/>
          <w:color w:val="182A46"/>
          <w:sz w:val="21"/>
        </w:rPr>
        <w:t>El traspaso representa el cierre de la etapa Preclaim y la preparación del expediente para el equipo siguiente. En la base contractual se entiende como un estado local de la plataforma, no como una integración automática con sistemas externos.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Destino</w:t>
            </w:r>
          </w:p>
        </w:tc>
        <w:tc>
          <w:tcPr>
            <w:tcW w:type="dxa" w:w="2520"/>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Significado</w:t>
            </w:r>
          </w:p>
        </w:tc>
        <w:tc>
          <w:tcPr>
            <w:tcW w:type="dxa" w:w="6263"/>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Validación antes de cerrar</w:t>
            </w:r>
          </w:p>
        </w:tc>
      </w:tr>
      <w:tr>
        <w:trPr>
          <w:cantSplit/>
        </w:trPr>
        <w:tc>
          <w:tcPr>
            <w:tcW w:type="dxa" w:w="144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FIS</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Recupero extrajudicial.</w:t>
            </w:r>
          </w:p>
        </w:tc>
        <w:tc>
          <w:tcPr>
            <w:tcW w:type="dxa" w:w="6263"/>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Ficha revisada, documentos y faltantes confirmados, método seleccionado, reporte generado y responsable visible.</w:t>
            </w:r>
          </w:p>
        </w:tc>
      </w:tr>
      <w:tr>
        <w:trPr>
          <w:cantSplit/>
        </w:trPr>
        <w:tc>
          <w:tcPr>
            <w:tcW w:type="dxa" w:w="144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Lawgistic</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Recupero judicial.</w:t>
            </w:r>
          </w:p>
        </w:tc>
        <w:tc>
          <w:tcPr>
            <w:tcW w:type="dxa" w:w="6263"/>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Mismas condiciones, con destino y motivo de derivación registrados.</w:t>
            </w:r>
          </w:p>
        </w:tc>
      </w:tr>
    </w:tbl>
    <w:p>
      <w:pPr>
        <w:spacing w:after="20"/>
      </w:pPr>
    </w:p>
    <w:p>
      <w:pPr>
        <w:pStyle w:val="ListBullet"/>
        <w:spacing w:after="60" w:line="259" w:lineRule="auto"/>
      </w:pPr>
      <w:r>
        <w:rPr>
          <w:rFonts w:ascii="Aptos" w:hAnsi="Aptos"/>
          <w:b w:val="0"/>
          <w:i w:val="0"/>
          <w:color w:val="182A46"/>
          <w:sz w:val="20"/>
        </w:rPr>
        <w:t>Bloquear el cálculo y cambios críticos después del traspaso, salvo reversión autorizada.</w:t>
      </w:r>
    </w:p>
    <w:p>
      <w:pPr>
        <w:pStyle w:val="ListBullet"/>
        <w:spacing w:after="60" w:line="259" w:lineRule="auto"/>
      </w:pPr>
      <w:r>
        <w:rPr>
          <w:rFonts w:ascii="Aptos" w:hAnsi="Aptos"/>
          <w:b w:val="0"/>
          <w:i w:val="0"/>
          <w:color w:val="182A46"/>
          <w:sz w:val="20"/>
        </w:rPr>
        <w:t>Permitir reversión al Gerente solo con motivo obligatorio y registro de quién, cuándo y por qué.</w:t>
      </w:r>
    </w:p>
    <w:p>
      <w:pPr>
        <w:pStyle w:val="ListBullet"/>
        <w:spacing w:after="60" w:line="259" w:lineRule="auto"/>
      </w:pPr>
      <w:r>
        <w:rPr>
          <w:rFonts w:ascii="Aptos" w:hAnsi="Aptos"/>
          <w:b w:val="0"/>
          <w:i w:val="0"/>
          <w:color w:val="182A46"/>
          <w:sz w:val="20"/>
        </w:rPr>
        <w:t>No borrar documentos, observaciones o versiones al cambiar de destino.</w:t>
      </w:r>
    </w:p>
    <w:p>
      <w:pPr>
        <w:pStyle w:val="Heading1"/>
        <w:keepNext/>
        <w:spacing w:before="300" w:after="100"/>
      </w:pPr>
      <w:r>
        <w:rPr>
          <w:rFonts w:ascii="Aptos" w:hAnsi="Aptos"/>
          <w:b/>
          <w:i w:val="0"/>
          <w:color w:val="182A46"/>
          <w:sz w:val="30"/>
        </w:rPr>
        <w:t>15 Trazabilidad, seguridad y datos</w:t>
      </w:r>
    </w:p>
    <w:p>
      <w:pPr>
        <w:pStyle w:val="BodyText"/>
        <w:spacing w:before="0" w:after="100" w:line="269" w:lineRule="auto"/>
      </w:pPr>
      <w:r>
        <w:rPr>
          <w:rFonts w:ascii="Aptos" w:hAnsi="Aptos"/>
          <w:b w:val="0"/>
          <w:i w:val="0"/>
          <w:color w:val="182A46"/>
          <w:sz w:val="21"/>
        </w:rPr>
        <w:t>Para producción, el sistema debe incorporar autenticación, control de acceso por rol, respaldo y almacenamiento seguro. El demo permite revisar la experiencia y el flujo, pero no demuestra por sí solo una arquitectura productiva ni la operación con datos reales.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800"/>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Control</w:t>
            </w:r>
          </w:p>
        </w:tc>
        <w:tc>
          <w:tcPr>
            <w:tcW w:type="dxa" w:w="8424"/>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Requisito funcional</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Auditoría</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Registrar cambios de estado, documentos cargados o eliminados, correcciones de datos, cálculos, causa, cartas, solicitudes, traspasos y reversiones.</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Acceso</w:t>
            </w:r>
          </w:p>
        </w:tc>
        <w:tc>
          <w:tcPr>
            <w:tcW w:type="dxa" w:w="84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Mostrar solo las acciones y expedientes autorizados según el perfil.</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Datos</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Usar la información únicamente para el propósito del servicio y conservar el origen del documento.</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Respaldos</w:t>
            </w:r>
          </w:p>
        </w:tc>
        <w:tc>
          <w:tcPr>
            <w:tcW w:type="dxa" w:w="84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Contar con una estrategia de respaldo y recuperación que FIS pueda revisar.</w:t>
            </w:r>
          </w:p>
        </w:tc>
      </w:tr>
      <w:tr>
        <w:trPr>
          <w:cantSplit/>
        </w:trPr>
        <w:tc>
          <w:tcPr>
            <w:tcW w:type="dxa" w:w="180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Eliminación</w:t>
            </w:r>
          </w:p>
        </w:tc>
        <w:tc>
          <w:tcPr>
            <w:tcW w:type="dxa" w:w="84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Definir cómo se devuelve o elimina la información al término del servicio, conforme al contrato.</w:t>
            </w:r>
          </w:p>
        </w:tc>
      </w:tr>
      <w:tr>
        <w:trPr>
          <w:cantSplit/>
        </w:trPr>
        <w:tc>
          <w:tcPr>
            <w:tcW w:type="dxa" w:w="180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Credenciales</w:t>
            </w:r>
          </w:p>
        </w:tc>
        <w:tc>
          <w:tcPr>
            <w:tcW w:type="dxa" w:w="84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No incluir claves ni secretos en el demo, repositorio, documentos de prueba o exportaciones.</w:t>
            </w:r>
          </w:p>
        </w:tc>
      </w:tr>
    </w:tbl>
    <w:p>
      <w:pPr>
        <w:spacing w:after="20"/>
      </w:pPr>
    </w:p>
    <w:p>
      <w:pPr>
        <w:pStyle w:val="Heading1"/>
        <w:keepNext/>
        <w:spacing w:before="300" w:after="100"/>
      </w:pPr>
      <w:r>
        <w:rPr>
          <w:rFonts w:ascii="Aptos" w:hAnsi="Aptos"/>
          <w:b/>
          <w:i w:val="0"/>
          <w:color w:val="182A46"/>
          <w:sz w:val="30"/>
        </w:rPr>
        <w:t>16 Manual integrado</w:t>
      </w:r>
    </w:p>
    <w:p>
      <w:pPr>
        <w:pStyle w:val="BodyText"/>
        <w:spacing w:before="0" w:after="100" w:line="269" w:lineRule="auto"/>
      </w:pPr>
      <w:r>
        <w:rPr>
          <w:rFonts w:ascii="Aptos" w:hAnsi="Aptos"/>
          <w:b w:val="0"/>
          <w:i w:val="0"/>
          <w:color w:val="182A46"/>
          <w:sz w:val="21"/>
        </w:rPr>
        <w:t>La plataforma debe mantener un menú de manual de usuario visible desde la portada y desde el encabezado. El manual debe describir qué hace cada módulo, qué significa cada estado, cómo cargar documentos, cómo revisar extracción y cálculos, cómo generar cartas, cómo solicitar faltantes, cómo derivar y qué puede hacer cada perfil.</w:t>
      </w:r>
    </w:p>
    <w:p>
      <w:r>
        <w:br w:type="page"/>
      </w:r>
    </w:p>
    <w:p>
      <w:pPr>
        <w:pStyle w:val="Heading1"/>
        <w:keepNext/>
        <w:spacing w:before="300" w:after="100"/>
      </w:pPr>
      <w:r>
        <w:rPr>
          <w:rFonts w:ascii="Aptos" w:hAnsi="Aptos"/>
          <w:b/>
          <w:i w:val="0"/>
          <w:color w:val="182A46"/>
          <w:sz w:val="30"/>
        </w:rPr>
        <w:t>17 Matriz de contraste para Sauvalle</w:t>
      </w:r>
    </w:p>
    <w:p>
      <w:pPr>
        <w:pStyle w:val="BodyText"/>
        <w:spacing w:before="0" w:after="120" w:line="269" w:lineRule="auto"/>
      </w:pPr>
      <w:r>
        <w:rPr>
          <w:rFonts w:ascii="Aptos" w:hAnsi="Aptos"/>
          <w:b w:val="0"/>
          <w:i w:val="0"/>
          <w:color w:val="182A46"/>
          <w:sz w:val="21"/>
        </w:rPr>
        <w:t>Esta matriz es el núcleo de la revisión solicitada. La columna Demo actual describe lo que se puede recorrer en el prototipo, no una certificación de producción. La última columna debe completarse con observaciones o aprobación de Sauvalle.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584"/>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Tema</w:t>
            </w:r>
          </w:p>
        </w:tc>
        <w:tc>
          <w:tcPr>
            <w:tcW w:type="dxa" w:w="3024"/>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Entendimiento actual</w:t>
            </w:r>
          </w:p>
        </w:tc>
        <w:tc>
          <w:tcPr>
            <w:tcW w:type="dxa" w:w="2520"/>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Demo actual</w:t>
            </w:r>
          </w:p>
        </w:tc>
        <w:tc>
          <w:tcPr>
            <w:tcW w:type="dxa" w:w="3096"/>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Confirmación requerida</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Entrada de casos</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Carpeta completa, carga y drag and drop; las integraciones requieren definición.</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Carga de carpeta y archivos operativa en el flujo demo.</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¿Cuál será la fuente real: plataforma, API, correo, carpeta o combinación?</w:t>
            </w:r>
          </w:p>
        </w:tc>
      </w:tr>
      <w:tr>
        <w:trPr>
          <w:cantSplit/>
        </w:trPr>
        <w:tc>
          <w:tcPr>
            <w:tcW w:type="dxa" w:w="158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Referencia</w:t>
            </w:r>
          </w:p>
        </w:tc>
        <w:tc>
          <w:tcPr>
            <w:tcW w:type="dxa" w:w="30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Identifica el caso y debe ser corregible.</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Edición y alerta de duplicidad disponibles.</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¿Cuál es el patrón oficial y qué reglas aplican a referencias duplicadas?</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Descarga o ETA</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Debe distinguir fecha real y fecha estimada.</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Campo editable con tipo de fecha.</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¿Qué fecha activa prescripción y cálculo en cada escenario?</w:t>
            </w:r>
          </w:p>
        </w:tc>
      </w:tr>
      <w:tr>
        <w:trPr>
          <w:cantSplit/>
        </w:trPr>
        <w:tc>
          <w:tcPr>
            <w:tcW w:type="dxa" w:w="158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Documentos</w:t>
            </w:r>
          </w:p>
        </w:tc>
        <w:tc>
          <w:tcPr>
            <w:tcW w:type="dxa" w:w="30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Clasificación, OCR, renombrado, original preservado.</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Propuesta de clasificación y revisión manual.</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¿Qué corpus y nivel de precisión se considera aceptable?</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Checklist</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Disponibles, faltantes y por solicitar.</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Inventario y cobertura visibles.</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¿Cuál es el checklist obligatorio por tipo de caso?</w:t>
            </w:r>
          </w:p>
        </w:tc>
      </w:tr>
      <w:tr>
        <w:trPr>
          <w:cantSplit/>
        </w:trPr>
        <w:tc>
          <w:tcPr>
            <w:tcW w:type="dxa" w:w="158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Extracción</w:t>
            </w:r>
          </w:p>
        </w:tc>
        <w:tc>
          <w:tcPr>
            <w:tcW w:type="dxa" w:w="30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BL, factura, liquidación y documentos definidos.</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Extracción asistida en datos de prueba.</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¿Cuáles son los campos fuente autorizados y sus prioridades?</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Causa y mérito</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Recomendación asistida, siempre humana.</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Resumen, causa, sustento y mérito editables.</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¿Qué reglas objetivas deben explicar la recomendación?</w:t>
            </w:r>
          </w:p>
        </w:tc>
      </w:tr>
      <w:tr>
        <w:trPr>
          <w:cantSplit/>
        </w:trPr>
        <w:tc>
          <w:tcPr>
            <w:tcW w:type="dxa" w:w="158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Pérdida</w:t>
            </w:r>
          </w:p>
        </w:tc>
        <w:tc>
          <w:tcPr>
            <w:tcW w:type="dxa" w:w="30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Tres métodos comparativos y venta a firme.</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Comparación visual y selección de método.</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¿Cuáles son las fórmulas, ajustes y límites exactos?</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Monedas</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USD y CLP contractuales; EUR solicitado después.</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EUR y tipo de cambio configurables en la evolución del demo.</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¿Se incorpora EUR ahora? ¿Qué fuente y fecha de FX se usará?</w:t>
            </w:r>
          </w:p>
        </w:tc>
      </w:tr>
      <w:tr>
        <w:trPr>
          <w:cantSplit/>
        </w:trPr>
        <w:tc>
          <w:tcPr>
            <w:tcW w:type="dxa" w:w="158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Templates</w:t>
            </w:r>
          </w:p>
        </w:tc>
        <w:tc>
          <w:tcPr>
            <w:tcW w:type="dxa" w:w="30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AoR, Harvest, LoA y Claim Notice base parametrizados.</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Mantenedor y generación de cuatro templates base.</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¿Los formatos oficiales y textos vigentes son estos?</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SUBRO y destrucción</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No están en la base contractual de templates.</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No deben considerarse parte del baseline.</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¿Se excluyen formalmente o se cotizan como cambio?</w:t>
            </w:r>
          </w:p>
        </w:tc>
      </w:tr>
      <w:tr>
        <w:trPr>
          <w:cantSplit/>
        </w:trPr>
        <w:tc>
          <w:tcPr>
            <w:tcW w:type="dxa" w:w="158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Histórico</w:t>
            </w:r>
          </w:p>
        </w:tc>
        <w:tc>
          <w:tcPr>
            <w:tcW w:type="dxa" w:w="30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Memoria separada, cargada inicialmente desde Excel.</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Memoria precargada en el demo.</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¿Cuál archivo, volumen y versión son la fuente definitiva?</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Inspector</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Perfil restringido por asignación, solicitado como evolución.</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Flujo acotado demostrable.</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¿Se incorpora al alcance y qué permisos exactos tendrá?</w:t>
            </w:r>
          </w:p>
        </w:tc>
      </w:tr>
      <w:tr>
        <w:trPr>
          <w:cantSplit/>
        </w:trPr>
        <w:tc>
          <w:tcPr>
            <w:tcW w:type="dxa" w:w="158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Inactividad</w:t>
            </w:r>
          </w:p>
        </w:tc>
        <w:tc>
          <w:tcPr>
            <w:tcW w:type="dxa" w:w="30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Aviso sobre casos sin movimiento por más de 15 días.</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Alerta visible en el demo.</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¿Días corridos o hábiles? ¿A quién se notifica?</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Naves masivas</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Agrupación por nave y viaje, solicitada como mejora.</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Resumen y filtro en evolución.</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¿Se incorpora al contrato o queda como fase posterior?</w:t>
            </w:r>
          </w:p>
        </w:tc>
      </w:tr>
      <w:tr>
        <w:trPr>
          <w:cantSplit/>
        </w:trPr>
        <w:tc>
          <w:tcPr>
            <w:tcW w:type="dxa" w:w="158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Traspaso</w:t>
            </w:r>
          </w:p>
        </w:tc>
        <w:tc>
          <w:tcPr>
            <w:tcW w:type="dxa" w:w="3024"/>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Estado local hacia FIS o Lawgistic; sin integración externa.</w:t>
            </w:r>
          </w:p>
        </w:tc>
        <w:tc>
          <w:tcPr>
            <w:tcW w:type="dxa" w:w="252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Cierre con bloqueo del cálculo.</w:t>
            </w:r>
          </w:p>
        </w:tc>
        <w:tc>
          <w:tcPr>
            <w:tcW w:type="dxa" w:w="3096"/>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¿Cuál es el checklist mínimo para permitir traspaso?</w:t>
            </w:r>
          </w:p>
        </w:tc>
      </w:tr>
      <w:tr>
        <w:trPr>
          <w:cantSplit/>
        </w:trPr>
        <w:tc>
          <w:tcPr>
            <w:tcW w:type="dxa" w:w="158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Seguridad</w:t>
            </w:r>
          </w:p>
        </w:tc>
        <w:tc>
          <w:tcPr>
            <w:tcW w:type="dxa" w:w="3024"/>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Login, roles, respaldos y confidencialidad para producción.</w:t>
            </w:r>
          </w:p>
        </w:tc>
        <w:tc>
          <w:tcPr>
            <w:tcW w:type="dxa" w:w="252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Experiencia local de perfiles.</w:t>
            </w:r>
          </w:p>
        </w:tc>
        <w:tc>
          <w:tcPr>
            <w:tcW w:type="dxa" w:w="3096"/>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5"/>
              </w:rPr>
              <w:t>¿Dónde se desplegará y cuál será el esquema de acceso real?</w:t>
            </w:r>
          </w:p>
        </w:tc>
      </w:tr>
    </w:tbl>
    <w:p>
      <w:pPr>
        <w:spacing w:after="20"/>
      </w:pPr>
    </w:p>
    <w:p>
      <w:pPr>
        <w:pStyle w:val="Heading1"/>
        <w:keepNext/>
        <w:spacing w:before="300" w:after="100"/>
      </w:pPr>
      <w:r>
        <w:rPr>
          <w:rFonts w:ascii="Aptos" w:hAnsi="Aptos"/>
          <w:b/>
          <w:i w:val="0"/>
          <w:color w:val="182A46"/>
          <w:sz w:val="30"/>
        </w:rPr>
        <w:t>18 Preguntas de validación</w:t>
      </w:r>
    </w:p>
    <w:p>
      <w:pPr>
        <w:pStyle w:val="BodyText"/>
        <w:spacing w:before="0" w:after="100" w:line="269" w:lineRule="auto"/>
      </w:pPr>
      <w:r>
        <w:rPr>
          <w:rFonts w:ascii="Aptos" w:hAnsi="Aptos"/>
          <w:b w:val="0"/>
          <w:i w:val="0"/>
          <w:color w:val="182A46"/>
          <w:sz w:val="21"/>
        </w:rPr>
        <w:t>Se recomienda que Sauvalle responda estas preguntas con una de tres marcas: aprobado, corregir o pendiente de información. Las respuestas deberían convertirse en una versión cerrada del documento funcional y, si corresponde, en solicitudes de cambio.</w:t>
      </w:r>
    </w:p>
    <w:p>
      <w:pPr>
        <w:spacing w:after="80"/>
        <w:ind w:left="144" w:hanging="144"/>
      </w:pPr>
      <w:r>
        <w:rPr>
          <w:rFonts w:ascii="Aptos" w:hAnsi="Aptos"/>
          <w:b/>
          <w:i w:val="0"/>
          <w:color w:val="0B7F82"/>
          <w:sz w:val="20"/>
        </w:rPr>
        <w:t xml:space="preserve">1. </w:t>
      </w:r>
      <w:r>
        <w:rPr>
          <w:rFonts w:ascii="Aptos" w:hAnsi="Aptos"/>
          <w:b w:val="0"/>
          <w:i w:val="0"/>
          <w:color w:val="182A46"/>
          <w:sz w:val="20"/>
        </w:rPr>
        <w:t>¿El flujo punta a punta refleja el trabajo real desde la recepción del caso hasta el traspaso?</w:t>
      </w:r>
    </w:p>
    <w:p>
      <w:pPr>
        <w:spacing w:after="80"/>
        <w:ind w:left="144" w:hanging="144"/>
      </w:pPr>
      <w:r>
        <w:rPr>
          <w:rFonts w:ascii="Aptos" w:hAnsi="Aptos"/>
          <w:b/>
          <w:i w:val="0"/>
          <w:color w:val="0B7F82"/>
          <w:sz w:val="20"/>
        </w:rPr>
        <w:t xml:space="preserve">2. </w:t>
      </w:r>
      <w:r>
        <w:rPr>
          <w:rFonts w:ascii="Aptos" w:hAnsi="Aptos"/>
          <w:b w:val="0"/>
          <w:i w:val="0"/>
          <w:color w:val="182A46"/>
          <w:sz w:val="20"/>
        </w:rPr>
        <w:t>¿Cuál es el archivo Excel definitivo para la memoria y cuántos registros deben incorporarse en la carga inicial?</w:t>
      </w:r>
    </w:p>
    <w:p>
      <w:pPr>
        <w:spacing w:after="80"/>
        <w:ind w:left="144" w:hanging="144"/>
      </w:pPr>
      <w:r>
        <w:rPr>
          <w:rFonts w:ascii="Aptos" w:hAnsi="Aptos"/>
          <w:b/>
          <w:i w:val="0"/>
          <w:color w:val="0B7F82"/>
          <w:sz w:val="20"/>
        </w:rPr>
        <w:t xml:space="preserve">3. </w:t>
      </w:r>
      <w:r>
        <w:rPr>
          <w:rFonts w:ascii="Aptos" w:hAnsi="Aptos"/>
          <w:b w:val="0"/>
          <w:i w:val="0"/>
          <w:color w:val="182A46"/>
          <w:sz w:val="20"/>
        </w:rPr>
        <w:t>¿Qué columnas de la planilla histórica son obligatorias y cuáles son solo informativas?</w:t>
      </w:r>
    </w:p>
    <w:p>
      <w:pPr>
        <w:spacing w:after="80"/>
        <w:ind w:left="144" w:hanging="144"/>
      </w:pPr>
      <w:r>
        <w:rPr>
          <w:rFonts w:ascii="Aptos" w:hAnsi="Aptos"/>
          <w:b/>
          <w:i w:val="0"/>
          <w:color w:val="0B7F82"/>
          <w:sz w:val="20"/>
        </w:rPr>
        <w:t xml:space="preserve">4. </w:t>
      </w:r>
      <w:r>
        <w:rPr>
          <w:rFonts w:ascii="Aptos" w:hAnsi="Aptos"/>
          <w:b w:val="0"/>
          <w:i w:val="0"/>
          <w:color w:val="182A46"/>
          <w:sz w:val="20"/>
        </w:rPr>
        <w:t>¿Qué convención de referencia debe aplicar el sistema y qué usuario puede corregirla?</w:t>
      </w:r>
    </w:p>
    <w:p>
      <w:pPr>
        <w:spacing w:after="80"/>
        <w:ind w:left="144" w:hanging="144"/>
      </w:pPr>
      <w:r>
        <w:rPr>
          <w:rFonts w:ascii="Aptos" w:hAnsi="Aptos"/>
          <w:b/>
          <w:i w:val="0"/>
          <w:color w:val="0B7F82"/>
          <w:sz w:val="20"/>
        </w:rPr>
        <w:t xml:space="preserve">5. </w:t>
      </w:r>
      <w:r>
        <w:rPr>
          <w:rFonts w:ascii="Aptos" w:hAnsi="Aptos"/>
          <w:b w:val="0"/>
          <w:i w:val="0"/>
          <w:color w:val="182A46"/>
          <w:sz w:val="20"/>
        </w:rPr>
        <w:t>¿Qué fecha es la oficial para prescripción y cómo se diferencia ETA de descarga real?</w:t>
      </w:r>
    </w:p>
    <w:p>
      <w:pPr>
        <w:spacing w:after="80"/>
        <w:ind w:left="144" w:hanging="144"/>
      </w:pPr>
      <w:r>
        <w:rPr>
          <w:rFonts w:ascii="Aptos" w:hAnsi="Aptos"/>
          <w:b/>
          <w:i w:val="0"/>
          <w:color w:val="0B7F82"/>
          <w:sz w:val="20"/>
        </w:rPr>
        <w:t xml:space="preserve">6. </w:t>
      </w:r>
      <w:r>
        <w:rPr>
          <w:rFonts w:ascii="Aptos" w:hAnsi="Aptos"/>
          <w:b w:val="0"/>
          <w:i w:val="0"/>
          <w:color w:val="182A46"/>
          <w:sz w:val="20"/>
        </w:rPr>
        <w:t>¿Cuál es el checklist base por tipo de caso y qué documento puede marcarse como no aplicable?</w:t>
      </w:r>
    </w:p>
    <w:p>
      <w:pPr>
        <w:spacing w:after="80"/>
        <w:ind w:left="144" w:hanging="144"/>
      </w:pPr>
      <w:r>
        <w:rPr>
          <w:rFonts w:ascii="Aptos" w:hAnsi="Aptos"/>
          <w:b/>
          <w:i w:val="0"/>
          <w:color w:val="0B7F82"/>
          <w:sz w:val="20"/>
        </w:rPr>
        <w:t xml:space="preserve">7. </w:t>
      </w:r>
      <w:r>
        <w:rPr>
          <w:rFonts w:ascii="Aptos" w:hAnsi="Aptos"/>
          <w:b w:val="0"/>
          <w:i w:val="0"/>
          <w:color w:val="182A46"/>
          <w:sz w:val="20"/>
        </w:rPr>
        <w:t>¿Qué campos del BL, factura y liquidación deben extraerse y con qué prioridad si existe conflicto?</w:t>
      </w:r>
    </w:p>
    <w:p>
      <w:pPr>
        <w:spacing w:after="80"/>
        <w:ind w:left="144" w:hanging="144"/>
      </w:pPr>
      <w:r>
        <w:rPr>
          <w:rFonts w:ascii="Aptos" w:hAnsi="Aptos"/>
          <w:b/>
          <w:i w:val="0"/>
          <w:color w:val="0B7F82"/>
          <w:sz w:val="20"/>
        </w:rPr>
        <w:t xml:space="preserve">8. </w:t>
      </w:r>
      <w:r>
        <w:rPr>
          <w:rFonts w:ascii="Aptos" w:hAnsi="Aptos"/>
          <w:b w:val="0"/>
          <w:i w:val="0"/>
          <w:color w:val="182A46"/>
          <w:sz w:val="20"/>
        </w:rPr>
        <w:t>¿Qué fórmulas exactas, costos, redondeos, límites y reglas de nota de crédito deben aplicarse?</w:t>
      </w:r>
    </w:p>
    <w:p>
      <w:pPr>
        <w:spacing w:after="80"/>
        <w:ind w:left="144" w:hanging="144"/>
      </w:pPr>
      <w:r>
        <w:rPr>
          <w:rFonts w:ascii="Aptos" w:hAnsi="Aptos"/>
          <w:b/>
          <w:i w:val="0"/>
          <w:color w:val="0B7F82"/>
          <w:sz w:val="20"/>
        </w:rPr>
        <w:t xml:space="preserve">9. </w:t>
      </w:r>
      <w:r>
        <w:rPr>
          <w:rFonts w:ascii="Aptos" w:hAnsi="Aptos"/>
          <w:b w:val="0"/>
          <w:i w:val="0"/>
          <w:color w:val="182A46"/>
          <w:sz w:val="20"/>
        </w:rPr>
        <w:t>¿Se mantiene la base contractual de USD y CLP o se incorpora EUR con un cambio de alcance?</w:t>
      </w:r>
    </w:p>
    <w:p>
      <w:pPr>
        <w:spacing w:after="80"/>
        <w:ind w:left="144" w:hanging="144"/>
      </w:pPr>
      <w:r>
        <w:rPr>
          <w:rFonts w:ascii="Aptos" w:hAnsi="Aptos"/>
          <w:b/>
          <w:i w:val="0"/>
          <w:color w:val="0B7F82"/>
          <w:sz w:val="20"/>
        </w:rPr>
        <w:t xml:space="preserve">10. </w:t>
      </w:r>
      <w:r>
        <w:rPr>
          <w:rFonts w:ascii="Aptos" w:hAnsi="Aptos"/>
          <w:b w:val="0"/>
          <w:i w:val="0"/>
          <w:color w:val="182A46"/>
          <w:sz w:val="20"/>
        </w:rPr>
        <w:t>¿Los únicos templates base iniciales son AoR, Harvest, LoA y Claim Notice?</w:t>
      </w:r>
    </w:p>
    <w:p>
      <w:pPr>
        <w:spacing w:after="80"/>
        <w:ind w:left="144" w:hanging="144"/>
      </w:pPr>
      <w:r>
        <w:rPr>
          <w:rFonts w:ascii="Aptos" w:hAnsi="Aptos"/>
          <w:b/>
          <w:i w:val="0"/>
          <w:color w:val="0B7F82"/>
          <w:sz w:val="20"/>
        </w:rPr>
        <w:t xml:space="preserve">11. </w:t>
      </w:r>
      <w:r>
        <w:rPr>
          <w:rFonts w:ascii="Aptos" w:hAnsi="Aptos"/>
          <w:b w:val="0"/>
          <w:i w:val="0"/>
          <w:color w:val="182A46"/>
          <w:sz w:val="20"/>
        </w:rPr>
        <w:t>¿Qué formatos oficiales y textos legales deben cargarse en el mantenedor?</w:t>
      </w:r>
    </w:p>
    <w:p>
      <w:pPr>
        <w:spacing w:after="80"/>
        <w:ind w:left="144" w:hanging="144"/>
      </w:pPr>
      <w:r>
        <w:rPr>
          <w:rFonts w:ascii="Aptos" w:hAnsi="Aptos"/>
          <w:b/>
          <w:i w:val="0"/>
          <w:color w:val="0B7F82"/>
          <w:sz w:val="20"/>
        </w:rPr>
        <w:t xml:space="preserve">12. </w:t>
      </w:r>
      <w:r>
        <w:rPr>
          <w:rFonts w:ascii="Aptos" w:hAnsi="Aptos"/>
          <w:b w:val="0"/>
          <w:i w:val="0"/>
          <w:color w:val="182A46"/>
          <w:sz w:val="20"/>
        </w:rPr>
        <w:t>¿Se aprueba Inspector, avisos de inactividad, agrupación de naves masivas y exportaciones como evolución?</w:t>
      </w:r>
    </w:p>
    <w:p>
      <w:pPr>
        <w:spacing w:after="80"/>
        <w:ind w:left="144" w:hanging="144"/>
      </w:pPr>
      <w:r>
        <w:rPr>
          <w:rFonts w:ascii="Aptos" w:hAnsi="Aptos"/>
          <w:b/>
          <w:i w:val="0"/>
          <w:color w:val="0B7F82"/>
          <w:sz w:val="20"/>
        </w:rPr>
        <w:t xml:space="preserve">13. </w:t>
      </w:r>
      <w:r>
        <w:rPr>
          <w:rFonts w:ascii="Aptos" w:hAnsi="Aptos"/>
          <w:b w:val="0"/>
          <w:i w:val="0"/>
          <w:color w:val="182A46"/>
          <w:sz w:val="20"/>
        </w:rPr>
        <w:t>¿Qué condiciones deben cumplirse para que un caso quede listo para FIS o Lawgistic?</w:t>
      </w:r>
    </w:p>
    <w:p>
      <w:pPr>
        <w:spacing w:after="80"/>
        <w:ind w:left="144" w:hanging="144"/>
      </w:pPr>
      <w:r>
        <w:rPr>
          <w:rFonts w:ascii="Aptos" w:hAnsi="Aptos"/>
          <w:b/>
          <w:i w:val="0"/>
          <w:color w:val="0B7F82"/>
          <w:sz w:val="20"/>
        </w:rPr>
        <w:t xml:space="preserve">14. </w:t>
      </w:r>
      <w:r>
        <w:rPr>
          <w:rFonts w:ascii="Aptos" w:hAnsi="Aptos"/>
          <w:b w:val="0"/>
          <w:i w:val="0"/>
          <w:color w:val="182A46"/>
          <w:sz w:val="20"/>
        </w:rPr>
        <w:t>¿Qué sistema o canal será la fuente productiva de documentos y datos, y existe API o acceso de solo lectura?</w:t>
      </w:r>
    </w:p>
    <w:p>
      <w:pPr>
        <w:pStyle w:val="Heading1"/>
        <w:keepNext/>
        <w:spacing w:before="300" w:after="100"/>
      </w:pPr>
      <w:r>
        <w:rPr>
          <w:rFonts w:ascii="Aptos" w:hAnsi="Aptos"/>
          <w:b/>
          <w:i w:val="0"/>
          <w:color w:val="182A46"/>
          <w:sz w:val="30"/>
        </w:rPr>
        <w:t>19 Criterios de aceptación funcional</w:t>
      </w:r>
    </w:p>
    <w:p>
      <w:pPr>
        <w:pStyle w:val="BodyText"/>
        <w:spacing w:before="0" w:after="100" w:line="269" w:lineRule="auto"/>
      </w:pPr>
      <w:r>
        <w:rPr>
          <w:rFonts w:ascii="Aptos" w:hAnsi="Aptos"/>
          <w:b w:val="0"/>
          <w:i w:val="0"/>
          <w:color w:val="182A46"/>
          <w:sz w:val="21"/>
        </w:rPr>
        <w:t>Para la revisión contractual, una función debería considerarse aceptable cuando el flujo puede ejecutarse con datos de prueba entregados por FIS, el resultado puede ser revisado por el usuario correspondiente y existe una explicación suficiente para corregir errores sin perder trazabilidad.</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Criterio</w:t>
            </w:r>
          </w:p>
        </w:tc>
        <w:tc>
          <w:tcPr>
            <w:tcW w:type="dxa" w:w="7992"/>
            <w:vAlign w:val="center"/>
            <w:tcMar>
              <w:top w:w="100" w:type="dxa"/>
              <w:start w:w="130" w:type="dxa"/>
              <w:bottom w:w="100" w:type="dxa"/>
              <w:end w:w="130" w:type="dxa"/>
            </w:tcMar>
            <w:shd w:fill="1E3557"/>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Evidencia esperada</w:t>
            </w:r>
          </w:p>
        </w:tc>
      </w:tr>
      <w:tr>
        <w:trPr>
          <w:cantSplit/>
        </w:trPr>
        <w:tc>
          <w:tcPr>
            <w:tcW w:type="dxa" w:w="22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Flujo completo</w:t>
            </w:r>
          </w:p>
        </w:tc>
        <w:tc>
          <w:tcPr>
            <w:tcW w:type="dxa" w:w="79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Un caso puede pasar de carga a revisión, cálculo, generación de carta y traspaso.</w:t>
            </w:r>
          </w:p>
        </w:tc>
      </w:tr>
      <w:tr>
        <w:trPr>
          <w:cantSplit/>
        </w:trPr>
        <w:tc>
          <w:tcPr>
            <w:tcW w:type="dxa" w:w="22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Documentos</w:t>
            </w:r>
          </w:p>
        </w:tc>
        <w:tc>
          <w:tcPr>
            <w:tcW w:type="dxa" w:w="79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La clasificación y el inventario muestran disponibles, faltantes y correcciones.</w:t>
            </w:r>
          </w:p>
        </w:tc>
      </w:tr>
      <w:tr>
        <w:trPr>
          <w:cantSplit/>
        </w:trPr>
        <w:tc>
          <w:tcPr>
            <w:tcW w:type="dxa" w:w="22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Datos</w:t>
            </w:r>
          </w:p>
        </w:tc>
        <w:tc>
          <w:tcPr>
            <w:tcW w:type="dxa" w:w="79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Los campos extraídos muestran origen y pueden editarse antes del cálculo.</w:t>
            </w:r>
          </w:p>
        </w:tc>
      </w:tr>
      <w:tr>
        <w:trPr>
          <w:cantSplit/>
        </w:trPr>
        <w:tc>
          <w:tcPr>
            <w:tcW w:type="dxa" w:w="22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Cálculos</w:t>
            </w:r>
          </w:p>
        </w:tc>
        <w:tc>
          <w:tcPr>
            <w:tcW w:type="dxa" w:w="79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Los tres métodos se pueden comparar y el método seleccionado queda justificado.</w:t>
            </w:r>
          </w:p>
        </w:tc>
      </w:tr>
      <w:tr>
        <w:trPr>
          <w:cantSplit/>
        </w:trPr>
        <w:tc>
          <w:tcPr>
            <w:tcW w:type="dxa" w:w="22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Cartas</w:t>
            </w:r>
          </w:p>
        </w:tc>
        <w:tc>
          <w:tcPr>
            <w:tcW w:type="dxa" w:w="79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Las cuatro cartas base se generan con la versión activa y datos confirmados.</w:t>
            </w:r>
          </w:p>
        </w:tc>
      </w:tr>
      <w:tr>
        <w:trPr>
          <w:cantSplit/>
        </w:trPr>
        <w:tc>
          <w:tcPr>
            <w:tcW w:type="dxa" w:w="22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Memoria</w:t>
            </w:r>
          </w:p>
        </w:tc>
        <w:tc>
          <w:tcPr>
            <w:tcW w:type="dxa" w:w="79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El histórico inicial aparece sin carga manual posterior y no contamina la cartera activa.</w:t>
            </w:r>
          </w:p>
        </w:tc>
      </w:tr>
      <w:tr>
        <w:trPr>
          <w:cantSplit/>
        </w:trPr>
        <w:tc>
          <w:tcPr>
            <w:tcW w:type="dxa" w:w="223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Trazabilidad</w:t>
            </w:r>
          </w:p>
        </w:tc>
        <w:tc>
          <w:tcPr>
            <w:tcW w:type="dxa" w:w="7992"/>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Cambios relevantes muestran usuario, fecha y motivo cuando corresponde.</w:t>
            </w:r>
          </w:p>
        </w:tc>
      </w:tr>
      <w:tr>
        <w:trPr>
          <w:cantSplit/>
        </w:trPr>
        <w:tc>
          <w:tcPr>
            <w:tcW w:type="dxa" w:w="223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Traspaso</w:t>
            </w:r>
          </w:p>
        </w:tc>
        <w:tc>
          <w:tcPr>
            <w:tcW w:type="dxa" w:w="7992"/>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FIS o Lawgistic se selecciona de forma explícita y el caso queda en estado consistente.</w:t>
            </w:r>
          </w:p>
        </w:tc>
      </w:tr>
    </w:tbl>
    <w:p>
      <w:pPr>
        <w:spacing w:after="20"/>
      </w:pPr>
    </w:p>
    <w:p>
      <w:pPr>
        <w:pStyle w:val="Heading1"/>
        <w:keepNext/>
        <w:spacing w:before="300" w:after="100"/>
      </w:pPr>
      <w:r>
        <w:rPr>
          <w:rFonts w:ascii="Aptos" w:hAnsi="Aptos"/>
          <w:b/>
          <w:i w:val="0"/>
          <w:color w:val="182A46"/>
          <w:sz w:val="30"/>
        </w:rPr>
        <w:t>20 Próximo paso de revisión</w:t>
      </w:r>
    </w:p>
    <w:p>
      <w:pPr>
        <w:pStyle w:val="BodyText"/>
        <w:spacing w:before="0" w:after="120" w:line="269" w:lineRule="auto"/>
      </w:pPr>
      <w:r>
        <w:rPr>
          <w:rFonts w:ascii="Aptos" w:hAnsi="Aptos"/>
          <w:b w:val="0"/>
          <w:i w:val="0"/>
          <w:color w:val="182A46"/>
          <w:sz w:val="21"/>
        </w:rPr>
        <w:t>Se propone que Sauvalle revise primero la matriz de contraste y las preguntas de validación, utilizando el demo para recorrer un caso con documentación completa, un caso con faltantes y un caso con cálculo. Después de esa revisión, se puede cerrar una versión funcional validada, separar las evoluciones y definir los insumos necesarios para desarrollo y aceptación.</w:t>
      </w:r>
    </w:p>
    <w:p>
      <w:pPr>
        <w:pStyle w:val="BodyText"/>
        <w:spacing w:before="0" w:after="160" w:line="269" w:lineRule="auto"/>
      </w:pPr>
      <w:r>
        <w:rPr>
          <w:rFonts w:ascii="Aptos" w:hAnsi="Aptos"/>
          <w:b/>
          <w:i w:val="0"/>
          <w:color w:val="0B7F82"/>
          <w:sz w:val="21"/>
        </w:rPr>
        <w:t xml:space="preserve">Regla de control. </w:t>
      </w:r>
      <w:r>
        <w:rPr>
          <w:rFonts w:ascii="Aptos" w:hAnsi="Aptos"/>
          <w:b w:val="0"/>
          <w:i w:val="0"/>
          <w:color w:val="182A46"/>
          <w:sz w:val="21"/>
        </w:rPr>
        <w:t>Toda funcionalidad que no esté en el alcance contractual o que cambie una regla operativa debe quedar registrada como decisión explícita o Change Request.</w:t>
      </w:r>
    </w:p>
    <w:p>
      <w:pPr>
        <w:pStyle w:val="Heading1"/>
        <w:keepNext/>
        <w:spacing w:before="300" w:after="100"/>
      </w:pPr>
      <w:r>
        <w:rPr>
          <w:rFonts w:ascii="Aptos" w:hAnsi="Aptos"/>
          <w:b/>
          <w:i w:val="0"/>
          <w:color w:val="182A46"/>
          <w:sz w:val="30"/>
        </w:rPr>
        <w:t>Anexo Fuentes consultadas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240"/>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Fuente</w:t>
            </w:r>
          </w:p>
        </w:tc>
        <w:tc>
          <w:tcPr>
            <w:tcW w:type="dxa" w:w="6983"/>
            <w:vAlign w:val="center"/>
            <w:tcMar>
              <w:top w:w="100" w:type="dxa"/>
              <w:start w:w="130" w:type="dxa"/>
              <w:bottom w:w="100" w:type="dxa"/>
              <w:end w:w="130" w:type="dxa"/>
            </w:tcMar>
            <w:shd w:fill="0B7F8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color w:val="FFFFFF"/>
                <w:sz w:val="16"/>
              </w:rPr>
              <w:t>Uso en este documento</w:t>
            </w:r>
          </w:p>
        </w:tc>
      </w:tr>
      <w:tr>
        <w:trPr>
          <w:cantSplit/>
        </w:trPr>
        <w:tc>
          <w:tcPr>
            <w:tcW w:type="dxa" w:w="324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Contrato NPR FIS Chile v6.0 firmado</w:t>
            </w:r>
          </w:p>
        </w:tc>
        <w:tc>
          <w:tcPr>
            <w:tcW w:type="dxa" w:w="6983"/>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Alcance, perfiles, documentos, cálculos, templates base, aceptación, soporte, memoria, seguridad y exclusiones.</w:t>
            </w:r>
          </w:p>
        </w:tc>
      </w:tr>
      <w:tr>
        <w:trPr>
          <w:cantSplit/>
        </w:trPr>
        <w:tc>
          <w:tcPr>
            <w:tcW w:type="dxa" w:w="324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Reuniones FIS y contexto LJU</w:t>
            </w:r>
          </w:p>
        </w:tc>
        <w:tc>
          <w:tcPr>
            <w:tcW w:type="dxa" w:w="6983"/>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Flujo operativo, fuentes de casos, situación actual, revisión humana, recuperación y necesidades de integración.</w:t>
            </w:r>
          </w:p>
        </w:tc>
      </w:tr>
      <w:tr>
        <w:trPr>
          <w:cantSplit/>
        </w:trPr>
        <w:tc>
          <w:tcPr>
            <w:tcW w:type="dxa" w:w="3240"/>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Demo Intervent Preclaim</w:t>
            </w:r>
          </w:p>
        </w:tc>
        <w:tc>
          <w:tcPr>
            <w:tcW w:type="dxa" w:w="6983"/>
            <w:vAlign w:val="center"/>
            <w:tcMar>
              <w:top w:w="100" w:type="dxa"/>
              <w:start w:w="130" w:type="dxa"/>
              <w:bottom w:w="100" w:type="dxa"/>
              <w:end w:w="130" w:type="dxa"/>
            </w:tcMar>
            <w:shd w:fill="FFFF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Comportamientos visibles, navegación, casos de prueba, memoria histórica, mantenedores y recorrido funcional.</w:t>
            </w:r>
          </w:p>
        </w:tc>
      </w:tr>
      <w:tr>
        <w:trPr>
          <w:cantSplit/>
        </w:trPr>
        <w:tc>
          <w:tcPr>
            <w:tcW w:type="dxa" w:w="3240"/>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Planilla histórica y archivos de prueba</w:t>
            </w:r>
          </w:p>
        </w:tc>
        <w:tc>
          <w:tcPr>
            <w:tcW w:type="dxa" w:w="6983"/>
            <w:vAlign w:val="center"/>
            <w:tcMar>
              <w:top w:w="100" w:type="dxa"/>
              <w:start w:w="130" w:type="dxa"/>
              <w:bottom w:w="100" w:type="dxa"/>
              <w:end w:w="130" w:type="dxa"/>
            </w:tcMar>
            <w:shd w:fill="F7F9FB"/>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line="259" w:lineRule="auto"/>
              <w:jc w:val="left"/>
            </w:pPr>
            <w:r/>
            <w:r>
              <w:rPr>
                <w:rFonts w:ascii="Aptos" w:hAnsi="Aptos"/>
                <w:b w:val="0"/>
                <w:color w:val="182A46"/>
                <w:sz w:val="17"/>
              </w:rPr>
              <w:t>Referencia para memoria, documentos, campos y validación del procesamiento.</w:t>
            </w:r>
          </w:p>
        </w:tc>
      </w:tr>
    </w:tbl>
    <w:p>
      <w:pPr>
        <w:spacing w:after="20"/>
      </w:pPr>
    </w:p>
    <w:sectPr w:rsidR="00FC693F" w:rsidRPr="0006063C" w:rsidSect="00034616">
      <w:headerReference w:type="default" r:id="rId9"/>
      <w:footerReference w:type="default" r:id="rId10"/>
      <w:pgSz w:w="12240" w:h="15840"/>
      <w:pgMar w:top="893" w:right="979" w:bottom="835"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b w:val="0"/>
        <w:i w:val="0"/>
        <w:color w:val="5E718C"/>
        <w:sz w:val="16"/>
      </w:rPr>
      <w:t xml:space="preserve">Documento para revisión funcional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ptos" w:hAnsi="Aptos"/>
        <w:b/>
        <w:i w:val="0"/>
        <w:color w:val="182A46"/>
        <w:sz w:val="15"/>
      </w:rPr>
      <w:t>INTERVENT PRECLAIM  |  DOCUMENTO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2A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A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2A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2A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82A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182A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9" w:lineRule="auto"/>
    </w:pPr>
    <w:rPr>
      <w:rFonts w:ascii="Aptos" w:hAnsi="Aptos"/>
      <w:color w:val="182A4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color w:val="182A46"/>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color w:val="182A4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Funcional de Revisión Intervent Preclaim</dc:title>
  <dc:subject>Base para contraste funcional con Sauvalle</dc:subject>
  <dc:creator>Intervent Preclaim</dc:creator>
  <cp:keywords>Preclaim, FIS, funcional, revisión, contrato, Sauvalle</cp:keywords>
  <dc:description>generated by python-docx</dc:description>
  <cp:lastModifiedBy/>
  <cp:revision>1</cp:revision>
  <dcterms:created xsi:type="dcterms:W3CDTF">2013-12-23T23:15:00Z</dcterms:created>
  <dcterms:modified xsi:type="dcterms:W3CDTF">2013-12-23T23:15:00Z</dcterms:modified>
  <cp:category/>
</cp:coreProperties>
</file>