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68" w:after="0"/>
        <w:rPr/>
      </w:pPr>
      <w:r>
        <w:rPr/>
        <w:t>Information</w:t>
      </w:r>
      <w:r>
        <w:rPr>
          <w:spacing w:val="-1"/>
        </w:rPr>
        <w:t xml:space="preserve"> </w:t>
      </w:r>
      <w:r>
        <w:rPr/>
        <w:t>about</w:t>
      </w:r>
      <w:r>
        <w:rPr>
          <w:spacing w:val="2"/>
        </w:rPr>
        <w:t xml:space="preserve"> </w:t>
      </w:r>
      <w:r>
        <w:rPr>
          <w:spacing w:val="-5"/>
        </w:rPr>
        <w:t>Alf</w:t>
      </w:r>
    </w:p>
    <w:p>
      <w:pPr>
        <w:pStyle w:val="BodyText"/>
        <w:spacing w:lineRule="auto" w:line="259" w:before="36" w:after="0"/>
        <w:rPr/>
      </w:pPr>
      <w:commentRangeStart w:id="0"/>
      <w:r>
        <w:drawing>
          <wp:anchor behindDoc="1" distT="0" distB="0" distL="0" distR="0" simplePos="0" locked="0" layoutInCell="1" allowOverlap="0" relativeHeight="3">
            <wp:simplePos x="0" y="0"/>
            <wp:positionH relativeFrom="column">
              <wp:posOffset>47625</wp:posOffset>
            </wp:positionH>
            <wp:positionV relativeFrom="paragraph">
              <wp:posOffset>1113790</wp:posOffset>
            </wp:positionV>
            <wp:extent cx="5935980" cy="6522085"/>
            <wp:effectExtent l="0" t="0" r="0" b="0"/>
            <wp:wrapNone/>
            <wp:docPr id="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pic:cNvPicPr>
                      <a:picLocks noChangeAspect="1" noChangeArrowheads="1"/>
                    </pic:cNvPicPr>
                  </pic:nvPicPr>
                  <pic:blipFill>
                    <a:blip r:embed="rId2"/>
                    <a:stretch>
                      <a:fillRect/>
                    </a:stretch>
                  </pic:blipFill>
                  <pic:spPr bwMode="auto">
                    <a:xfrm>
                      <a:off x="0" y="0"/>
                      <a:ext cx="5935980" cy="6522085"/>
                    </a:xfrm>
                    <a:prstGeom prst="rect">
                      <a:avLst/>
                    </a:prstGeom>
                  </pic:spPr>
                </pic:pic>
              </a:graphicData>
            </a:graphic>
          </wp:anchor>
        </w:drawing>
      </w:r>
      <w:r>
        <w:rPr/>
        <w:t>Alf Karlsson</w:t>
      </w:r>
      <w:r>
        <w:rPr/>
      </w:r>
      <w:commentRangeEnd w:id="0"/>
      <w:r>
        <w:commentReference w:id="0"/>
      </w:r>
      <w:r>
        <w:rPr/>
        <w:commentReference w:id="1"/>
      </w:r>
      <w:r>
        <w:rPr/>
        <w:t xml:space="preserve"> graduated from law school in 1996. After a successful career in the Swedish judicial system, Alf Karlsson held positions as administrative director at Mälardalen University and as head of unit at the Swedish Green Party Parliamentary Secretariat. From October 2014, he served at the Prime Minister’s Office coordinating matters on housingand digitalization,</w:t>
      </w:r>
      <w:r>
        <w:rPr>
          <w:spacing w:val="-23"/>
        </w:rPr>
        <w:t xml:space="preserve"> </w:t>
      </w:r>
      <w:r>
        <w:rPr/>
        <w:t>and</w:t>
      </w:r>
      <w:r>
        <w:rPr>
          <w:spacing w:val="-22"/>
        </w:rPr>
        <w:t xml:space="preserve"> </w:t>
      </w:r>
      <w:r>
        <w:rPr/>
        <w:t>in</w:t>
      </w:r>
      <w:r>
        <w:rPr>
          <w:spacing w:val="-22"/>
        </w:rPr>
        <w:t xml:space="preserve"> </w:t>
      </w:r>
      <w:r>
        <w:rPr/>
        <w:t>June</w:t>
      </w:r>
      <w:r>
        <w:rPr>
          <w:spacing w:val="-22"/>
        </w:rPr>
        <w:t xml:space="preserve"> </w:t>
      </w:r>
      <w:r>
        <w:rPr/>
        <w:t xml:space="preserve">2016 he was appointed State Secretary to the Minister for Housing and Digital </w:t>
      </w:r>
      <w:commentRangeStart w:id="2"/>
      <w:r>
        <w:rPr/>
        <w:t xml:space="preserve">Development, Mr Peter </w:t>
      </w:r>
      <w:r>
        <w:rPr>
          <w:spacing w:val="-2"/>
        </w:rPr>
        <w:t>Eriksson.</w:t>
      </w:r>
    </w:p>
    <w:p>
      <w:pPr>
        <w:pStyle w:val="Normal"/>
        <w:spacing w:lineRule="auto" w:line="259" w:before="155" w:after="0"/>
        <w:ind w:left="2"/>
        <w:rPr>
          <w:b/>
          <w:sz w:val="32"/>
        </w:rPr>
      </w:pPr>
      <w:r>
        <w:rPr>
          <w:b/>
          <w:sz w:val="32"/>
        </w:rPr>
        <w:t>Cybersecurity</w:t>
      </w:r>
      <w:r>
        <w:rPr>
          <w:b/>
          <w:spacing w:val="-22"/>
          <w:sz w:val="32"/>
        </w:rPr>
        <w:t xml:space="preserve"> </w:t>
      </w:r>
      <w:r>
        <w:rPr>
          <w:b/>
          <w:sz w:val="32"/>
        </w:rPr>
        <w:t>profiling</w:t>
      </w:r>
      <w:r>
        <w:rPr>
          <w:b/>
          <w:spacing w:val="-20"/>
          <w:sz w:val="32"/>
        </w:rPr>
        <w:t xml:space="preserve"> </w:t>
      </w:r>
      <w:r>
        <w:rPr>
          <w:b/>
          <w:sz w:val="32"/>
        </w:rPr>
        <w:t xml:space="preserve">and rating using active and passive external </w:t>
      </w:r>
      <w:r>
        <w:rPr>
          <w:b/>
          <w:spacing w:val="-2"/>
          <w:sz w:val="32"/>
        </w:rPr>
        <w:t>reconnaissance.</w:t>
      </w:r>
    </w:p>
    <w:p>
      <w:pPr>
        <w:pStyle w:val="BodyText"/>
        <w:spacing w:lineRule="auto" w:line="259"/>
        <w:rPr/>
      </w:pPr>
      <w:r>
        <w:rPr/>
        <w:t xml:space="preserve">A </w:t>
      </w:r>
      <w:hyperlink r:id="rId3">
        <w:r>
          <w:rPr>
            <w:rStyle w:val="ListLabel10"/>
            <w:color w:val="0462C1"/>
            <w:u w:val="single" w:color="0462C1"/>
          </w:rPr>
          <w:t>method</w:t>
        </w:r>
      </w:hyperlink>
      <w:r>
        <w:rPr>
          <w:color w:val="0462C1"/>
        </w:rPr>
        <w:t xml:space="preserve"> </w:t>
      </w:r>
      <w:r>
        <w:rPr/>
        <w:t>to generate</w:t>
      </w:r>
      <w:r>
        <w:rPr/>
      </w:r>
      <w:commentRangeEnd w:id="2"/>
      <w:r>
        <w:commentReference w:id="2"/>
      </w:r>
      <w:r>
        <w:rPr/>
        <w:t xml:space="preserve"> an attack graph, comprising (patent US11025674):</w:t>
      </w:r>
    </w:p>
    <w:p>
      <w:pPr>
        <w:pStyle w:val="ListParagraph"/>
        <w:numPr>
          <w:ilvl w:val="0"/>
          <w:numId w:val="1"/>
        </w:numPr>
        <w:tabs>
          <w:tab w:val="clear" w:pos="720"/>
          <w:tab w:val="left" w:pos="283" w:leader="none"/>
          <w:tab w:val="left" w:pos="285" w:leader="none"/>
        </w:tabs>
        <w:spacing w:lineRule="auto" w:line="259" w:before="158" w:after="0"/>
        <w:jc w:val="both"/>
        <w:rPr>
          <w:sz w:val="32"/>
        </w:rPr>
      </w:pPr>
      <w:r>
        <w:rPr>
          <w:spacing w:val="-2"/>
          <w:sz w:val="32"/>
        </w:rPr>
        <w:t>selecting</w:t>
      </w:r>
      <w:r>
        <w:rPr>
          <w:spacing w:val="-19"/>
          <w:sz w:val="32"/>
        </w:rPr>
        <w:t xml:space="preserve"> </w:t>
      </w:r>
      <w:r>
        <w:rPr>
          <w:spacing w:val="-2"/>
          <w:sz w:val="32"/>
        </w:rPr>
        <w:t>a</w:t>
      </w:r>
      <w:r>
        <w:rPr>
          <w:spacing w:val="-19"/>
          <w:sz w:val="32"/>
        </w:rPr>
        <w:t xml:space="preserve"> </w:t>
      </w:r>
      <w:r>
        <w:rPr>
          <w:spacing w:val="-2"/>
          <w:sz w:val="32"/>
        </w:rPr>
        <w:t>first</w:t>
      </w:r>
      <w:r>
        <w:rPr>
          <w:spacing w:val="-19"/>
          <w:sz w:val="32"/>
        </w:rPr>
        <w:t xml:space="preserve"> </w:t>
      </w:r>
      <w:r>
        <w:rPr>
          <w:spacing w:val="-2"/>
          <w:sz w:val="32"/>
        </w:rPr>
        <w:t>state</w:t>
      </w:r>
      <w:r>
        <w:rPr>
          <w:spacing w:val="-19"/>
          <w:sz w:val="32"/>
        </w:rPr>
        <w:t xml:space="preserve"> </w:t>
      </w:r>
      <w:r>
        <w:rPr>
          <w:spacing w:val="-2"/>
          <w:sz w:val="32"/>
        </w:rPr>
        <w:t>node</w:t>
      </w:r>
      <w:r>
        <w:rPr>
          <w:spacing w:val="-17"/>
          <w:sz w:val="32"/>
        </w:rPr>
        <w:t xml:space="preserve"> </w:t>
      </w:r>
      <w:r>
        <w:rPr>
          <w:spacing w:val="-2"/>
          <w:sz w:val="32"/>
        </w:rPr>
        <w:t xml:space="preserve">as </w:t>
      </w:r>
      <w:r>
        <w:rPr>
          <w:sz w:val="32"/>
        </w:rPr>
        <w:t>a starting point of a cyber attack, the first state node corresponding</w:t>
      </w:r>
      <w:r>
        <w:rPr>
          <w:spacing w:val="-23"/>
          <w:sz w:val="32"/>
        </w:rPr>
        <w:t xml:space="preserve"> </w:t>
      </w:r>
      <w:r>
        <w:rPr>
          <w:sz w:val="32"/>
        </w:rPr>
        <w:t>to</w:t>
      </w:r>
      <w:r>
        <w:rPr>
          <w:spacing w:val="-22"/>
          <w:sz w:val="32"/>
        </w:rPr>
        <w:t xml:space="preserve"> </w:t>
      </w:r>
      <w:r>
        <w:rPr>
          <w:sz w:val="32"/>
        </w:rPr>
        <w:t>access</w:t>
      </w:r>
      <w:r>
        <w:rPr>
          <w:spacing w:val="-22"/>
          <w:sz w:val="32"/>
        </w:rPr>
        <w:t xml:space="preserve"> </w:t>
      </w:r>
      <w:r>
        <w:rPr>
          <w:sz w:val="32"/>
        </w:rPr>
        <w:t>to</w:t>
      </w:r>
      <w:r>
        <w:rPr>
          <w:spacing w:val="-22"/>
          <w:sz w:val="32"/>
        </w:rPr>
        <w:t xml:space="preserve"> </w:t>
      </w:r>
      <w:r>
        <w:rPr>
          <w:sz w:val="32"/>
        </w:rPr>
        <w:t>a first host in a network;</w:t>
      </w:r>
    </w:p>
    <w:p>
      <w:pPr>
        <w:pStyle w:val="ListParagraph"/>
        <w:numPr>
          <w:ilvl w:val="0"/>
          <w:numId w:val="1"/>
        </w:numPr>
        <w:tabs>
          <w:tab w:val="clear" w:pos="720"/>
          <w:tab w:val="left" w:pos="283" w:leader="none"/>
          <w:tab w:val="left" w:pos="285" w:leader="none"/>
        </w:tabs>
        <w:spacing w:lineRule="auto" w:line="259"/>
        <w:jc w:val="both"/>
        <w:rPr>
          <w:sz w:val="32"/>
        </w:rPr>
      </w:pPr>
      <w:r>
        <w:rPr>
          <w:sz w:val="32"/>
        </w:rPr>
        <w:t>coupling the first state node to a first prerequisite node having</w:t>
      </w:r>
      <w:r>
        <w:rPr>
          <w:spacing w:val="80"/>
          <w:sz w:val="32"/>
        </w:rPr>
        <w:t xml:space="preserve"> </w:t>
      </w:r>
      <w:r>
        <w:rPr>
          <w:sz w:val="32"/>
        </w:rPr>
        <w:t>a</w:t>
      </w:r>
      <w:r>
        <w:rPr>
          <w:spacing w:val="80"/>
          <w:sz w:val="32"/>
        </w:rPr>
        <w:t xml:space="preserve"> </w:t>
      </w:r>
      <w:r>
        <w:rPr>
          <w:sz w:val="32"/>
        </w:rPr>
        <w:t>first</w:t>
      </w:r>
      <w:r>
        <w:rPr>
          <w:spacing w:val="80"/>
          <w:sz w:val="32"/>
        </w:rPr>
        <w:t xml:space="preserve"> </w:t>
      </w:r>
      <w:r>
        <w:rPr>
          <w:sz w:val="32"/>
        </w:rPr>
        <w:t>precondition</w:t>
      </w:r>
    </w:p>
    <w:p>
      <w:pPr>
        <w:pStyle w:val="BodyText"/>
        <w:spacing w:lineRule="auto" w:line="259" w:before="69" w:after="0"/>
        <w:ind w:left="285" w:right="144"/>
        <w:rPr/>
      </w:pPr>
      <w:r>
        <w:br w:type="column"/>
      </w:r>
      <w:r>
        <w:rPr/>
        <w:t>satisfied by the first state node using a first edge;</w:t>
      </w:r>
    </w:p>
    <w:p>
      <w:pPr>
        <w:pStyle w:val="ListParagraph"/>
        <w:numPr>
          <w:ilvl w:val="0"/>
          <w:numId w:val="1"/>
        </w:numPr>
        <w:tabs>
          <w:tab w:val="clear" w:pos="720"/>
          <w:tab w:val="left" w:pos="283" w:leader="none"/>
          <w:tab w:val="left" w:pos="285" w:leader="none"/>
          <w:tab w:val="left" w:pos="2581" w:leader="none"/>
        </w:tabs>
        <w:spacing w:lineRule="auto" w:line="259"/>
        <w:ind w:hanging="284" w:left="285" w:right="141"/>
        <w:jc w:val="both"/>
        <w:rPr>
          <w:sz w:val="32"/>
        </w:rPr>
      </w:pPr>
      <w:r>
        <w:rPr>
          <w:sz w:val="32"/>
        </w:rPr>
        <w:t>coupling</w:t>
      </w:r>
      <w:r>
        <w:rPr>
          <w:spacing w:val="-23"/>
          <w:sz w:val="32"/>
        </w:rPr>
        <w:t xml:space="preserve"> </w:t>
      </w:r>
      <w:r>
        <w:rPr>
          <w:sz w:val="32"/>
        </w:rPr>
        <w:t>the</w:t>
      </w:r>
      <w:r>
        <w:rPr>
          <w:spacing w:val="-22"/>
          <w:sz w:val="32"/>
        </w:rPr>
        <w:t xml:space="preserve"> </w:t>
      </w:r>
      <w:r>
        <w:rPr>
          <w:sz w:val="32"/>
        </w:rPr>
        <w:t>first</w:t>
      </w:r>
      <w:r>
        <w:rPr>
          <w:spacing w:val="-22"/>
          <w:sz w:val="32"/>
        </w:rPr>
        <w:t xml:space="preserve"> </w:t>
      </w:r>
      <w:r>
        <w:rPr>
          <w:sz w:val="32"/>
        </w:rPr>
        <w:t xml:space="preserve">prerequisite node to a first vulnerability instance node having a </w:t>
      </w:r>
      <w:r>
        <w:rPr>
          <w:spacing w:val="-2"/>
          <w:sz w:val="32"/>
        </w:rPr>
        <w:t>second</w:t>
      </w:r>
      <w:r>
        <w:rPr>
          <w:sz w:val="32"/>
        </w:rPr>
        <w:tab/>
      </w:r>
      <w:r>
        <w:rPr>
          <w:spacing w:val="-2"/>
          <w:sz w:val="32"/>
        </w:rPr>
        <w:t xml:space="preserve">precondition </w:t>
      </w:r>
      <w:r>
        <w:rPr>
          <w:sz w:val="32"/>
        </w:rPr>
        <w:t>satisfied by the first prerequisite node using a second edge;</w:t>
      </w:r>
    </w:p>
    <w:p>
      <w:pPr>
        <w:pStyle w:val="ListParagraph"/>
        <w:numPr>
          <w:ilvl w:val="0"/>
          <w:numId w:val="1"/>
        </w:numPr>
        <w:tabs>
          <w:tab w:val="clear" w:pos="720"/>
          <w:tab w:val="left" w:pos="283" w:leader="none"/>
          <w:tab w:val="left" w:pos="285" w:leader="none"/>
          <w:tab w:val="left" w:pos="2420" w:leader="none"/>
          <w:tab w:val="left" w:pos="3807" w:leader="none"/>
        </w:tabs>
        <w:spacing w:lineRule="auto" w:line="259"/>
        <w:ind w:hanging="284" w:left="285" w:right="141"/>
        <w:jc w:val="both"/>
        <w:rPr>
          <w:sz w:val="32"/>
        </w:rPr>
      </w:pPr>
      <w:r>
        <w:rPr>
          <w:spacing w:val="-2"/>
          <w:sz w:val="32"/>
        </w:rPr>
        <w:t>coupling</w:t>
      </w:r>
      <w:r>
        <w:rPr>
          <w:sz w:val="32"/>
        </w:rPr>
        <w:tab/>
      </w:r>
      <w:r>
        <w:rPr>
          <w:spacing w:val="-4"/>
          <w:sz w:val="32"/>
        </w:rPr>
        <w:t>the</w:t>
      </w:r>
      <w:r>
        <w:rPr>
          <w:sz w:val="32"/>
        </w:rPr>
        <w:tab/>
      </w:r>
      <w:r>
        <w:rPr>
          <w:spacing w:val="-4"/>
          <w:sz w:val="32"/>
        </w:rPr>
        <w:t xml:space="preserve">first </w:t>
      </w:r>
      <w:r>
        <w:rPr>
          <w:sz w:val="32"/>
        </w:rPr>
        <w:t>vulnerability instance node to a second state node having a third precondition satisfied by the first vulnerability instance node using a third edge;</w:t>
      </w:r>
    </w:p>
    <w:p>
      <w:pPr>
        <w:pStyle w:val="ListParagraph"/>
        <w:numPr>
          <w:ilvl w:val="0"/>
          <w:numId w:val="1"/>
        </w:numPr>
        <w:tabs>
          <w:tab w:val="clear" w:pos="720"/>
          <w:tab w:val="left" w:pos="283" w:leader="none"/>
          <w:tab w:val="left" w:pos="285" w:leader="none"/>
        </w:tabs>
        <w:spacing w:lineRule="auto" w:line="259"/>
        <w:ind w:hanging="284" w:left="285" w:right="141"/>
        <w:jc w:val="both"/>
        <w:rPr>
          <w:sz w:val="32"/>
        </w:rPr>
      </w:pPr>
      <w:r>
        <w:rPr>
          <w:sz w:val="32"/>
        </w:rPr>
        <w:t>determining if a potential node, having a fourth precondition satisfied by a current node on the attack graph, provides a fifth precondition equivalent to one of preconditions provided by a group of preexisting</w:t>
      </w:r>
      <w:r>
        <w:rPr>
          <w:spacing w:val="-12"/>
          <w:sz w:val="32"/>
        </w:rPr>
        <w:t xml:space="preserve"> </w:t>
      </w:r>
      <w:r>
        <w:rPr>
          <w:sz w:val="32"/>
        </w:rPr>
        <w:t>nodes,</w:t>
      </w:r>
      <w:r>
        <w:rPr>
          <w:spacing w:val="-12"/>
          <w:sz w:val="32"/>
        </w:rPr>
        <w:t xml:space="preserve"> </w:t>
      </w:r>
      <w:r>
        <w:rPr>
          <w:sz w:val="32"/>
        </w:rPr>
        <w:t>the</w:t>
      </w:r>
      <w:r>
        <w:rPr>
          <w:spacing w:val="-12"/>
          <w:sz w:val="32"/>
        </w:rPr>
        <w:t xml:space="preserve"> </w:t>
      </w:r>
      <w:r>
        <w:rPr>
          <w:sz w:val="32"/>
        </w:rPr>
        <w:t>group of preexisting nodes comprising the first state node, the first vulnerability instance node, the first prerequisite node and the second state node;</w:t>
      </w:r>
    </w:p>
    <w:p>
      <w:pPr>
        <w:pStyle w:val="BodyText"/>
        <w:spacing w:lineRule="auto" w:line="259" w:before="231" w:after="0"/>
        <w:ind w:left="2" w:right="138"/>
        <w:rPr/>
      </w:pPr>
      <w:r>
        <w:rPr>
          <w:b/>
          <w:sz w:val="36"/>
        </w:rPr>
        <w:t>Named</w:t>
      </w:r>
      <w:r>
        <w:rPr>
          <w:b/>
          <w:spacing w:val="-15"/>
          <w:sz w:val="36"/>
        </w:rPr>
        <w:t xml:space="preserve"> </w:t>
      </w:r>
      <w:r>
        <w:rPr>
          <w:b/>
          <w:sz w:val="36"/>
        </w:rPr>
        <w:t>entity</w:t>
      </w:r>
      <w:r>
        <w:rPr>
          <w:b/>
          <w:spacing w:val="-16"/>
          <w:sz w:val="36"/>
        </w:rPr>
        <w:t xml:space="preserve"> </w:t>
      </w:r>
      <w:r>
        <w:rPr>
          <w:b/>
          <w:sz w:val="36"/>
        </w:rPr>
        <w:t xml:space="preserve">recognition </w:t>
      </w:r>
      <w:hyperlink r:id="rId4">
        <w:r>
          <w:rPr>
            <w:rStyle w:val="ListLabel10"/>
            <w:color w:val="0462C1"/>
            <w:u w:val="single" w:color="0462C1"/>
          </w:rPr>
          <w:t>Named-entity recognition</w:t>
        </w:r>
      </w:hyperlink>
      <w:r>
        <w:rPr>
          <w:color w:val="0462C1"/>
        </w:rPr>
        <w:t xml:space="preserve"> </w:t>
      </w:r>
      <w:hyperlink r:id="rId5">
        <w:r>
          <w:rPr>
            <w:rStyle w:val="ListLabel10"/>
            <w:color w:val="0462C1"/>
            <w:u w:val="single" w:color="0462C1"/>
          </w:rPr>
          <w:t>(NER)</w:t>
        </w:r>
      </w:hyperlink>
      <w:r>
        <w:rPr>
          <w:color w:val="0462C1"/>
          <w:spacing w:val="-23"/>
        </w:rPr>
        <w:t xml:space="preserve"> </w:t>
      </w:r>
      <w:r>
        <w:rPr/>
        <w:t>(also</w:t>
      </w:r>
      <w:r>
        <w:rPr>
          <w:spacing w:val="-22"/>
        </w:rPr>
        <w:t xml:space="preserve"> </w:t>
      </w:r>
      <w:r>
        <w:rPr/>
        <w:t>known</w:t>
      </w:r>
      <w:r>
        <w:rPr>
          <w:spacing w:val="-22"/>
        </w:rPr>
        <w:t xml:space="preserve"> </w:t>
      </w:r>
      <w:r>
        <w:rPr/>
        <w:t>as</w:t>
      </w:r>
      <w:r>
        <w:rPr>
          <w:spacing w:val="-22"/>
        </w:rPr>
        <w:t xml:space="preserve"> </w:t>
      </w:r>
      <w:r>
        <w:rPr/>
        <w:t>(named) entity identification, entity chunking,</w:t>
      </w:r>
      <w:r>
        <w:rPr>
          <w:spacing w:val="70"/>
          <w:w w:val="150"/>
        </w:rPr>
        <w:t xml:space="preserve">    </w:t>
      </w:r>
      <w:r>
        <w:rPr/>
        <w:t>and</w:t>
      </w:r>
      <w:r>
        <w:rPr>
          <w:spacing w:val="71"/>
          <w:w w:val="150"/>
        </w:rPr>
        <w:t xml:space="preserve">    </w:t>
      </w:r>
      <w:r>
        <w:rPr>
          <w:spacing w:val="-2"/>
        </w:rPr>
        <w:t>entity</w:t>
      </w:r>
    </w:p>
    <w:p>
      <w:pPr>
        <w:sectPr>
          <w:type w:val="nextPage"/>
          <w:pgSz w:w="11906" w:h="16838"/>
          <w:pgMar w:left="1700" w:right="708" w:gutter="0" w:header="0" w:top="1040" w:footer="0" w:bottom="280"/>
          <w:pgNumType w:fmt="decimal"/>
          <w:cols w:num="2" w:equalWidth="false" w:sep="false">
            <w:col w:w="4322" w:space="706"/>
            <w:col w:w="4469"/>
          </w:cols>
          <w:formProt w:val="false"/>
          <w:textDirection w:val="lrTb"/>
        </w:sectPr>
      </w:pPr>
    </w:p>
    <w:p>
      <w:pPr>
        <w:pStyle w:val="BodyText"/>
        <w:spacing w:lineRule="auto" w:line="259" w:before="69" w:after="0"/>
        <w:rPr/>
      </w:pPr>
      <w:r>
        <w:drawing>
          <wp:anchor behindDoc="1" distT="0" distB="0" distL="0" distR="0" simplePos="0" locked="0" layoutInCell="1" allowOverlap="0" relativeHeight="2">
            <wp:simplePos x="0" y="0"/>
            <wp:positionH relativeFrom="column">
              <wp:posOffset>104775</wp:posOffset>
            </wp:positionH>
            <wp:positionV relativeFrom="paragraph">
              <wp:posOffset>1416685</wp:posOffset>
            </wp:positionV>
            <wp:extent cx="5935980" cy="6522085"/>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5935980" cy="6522085"/>
                    </a:xfrm>
                    <a:prstGeom prst="rect">
                      <a:avLst/>
                    </a:prstGeom>
                  </pic:spPr>
                </pic:pic>
              </a:graphicData>
            </a:graphic>
          </wp:anchor>
        </w:drawing>
      </w:r>
      <w:r>
        <w:rPr/>
        <w:t>extraction) is a subtask of information extraction that seeks to locate and classify named entities mentioned in unstructured text into pre- defined categories.</w:t>
      </w:r>
    </w:p>
    <w:p>
      <w:pPr>
        <w:pStyle w:val="ListParagraph"/>
        <w:numPr>
          <w:ilvl w:val="1"/>
          <w:numId w:val="1"/>
        </w:numPr>
        <w:tabs>
          <w:tab w:val="clear" w:pos="720"/>
          <w:tab w:val="left" w:pos="284" w:leader="none"/>
        </w:tabs>
        <w:spacing w:before="160" w:after="0"/>
        <w:ind w:hanging="282" w:left="284"/>
        <w:rPr>
          <w:sz w:val="32"/>
        </w:rPr>
      </w:pPr>
      <w:r>
        <w:rPr>
          <w:sz w:val="32"/>
        </w:rPr>
        <w:t>person</w:t>
      </w:r>
      <w:r>
        <w:rPr>
          <w:spacing w:val="-15"/>
          <w:sz w:val="32"/>
        </w:rPr>
        <w:t xml:space="preserve"> </w:t>
      </w:r>
      <w:r>
        <w:rPr>
          <w:spacing w:val="-2"/>
          <w:sz w:val="32"/>
        </w:rPr>
        <w:t>names</w:t>
      </w:r>
    </w:p>
    <w:p>
      <w:pPr>
        <w:pStyle w:val="ListParagraph"/>
        <w:numPr>
          <w:ilvl w:val="1"/>
          <w:numId w:val="1"/>
        </w:numPr>
        <w:tabs>
          <w:tab w:val="clear" w:pos="720"/>
          <w:tab w:val="left" w:pos="284" w:leader="none"/>
        </w:tabs>
        <w:spacing w:before="26" w:after="0"/>
        <w:ind w:hanging="282" w:left="284"/>
        <w:rPr>
          <w:sz w:val="32"/>
        </w:rPr>
      </w:pPr>
      <w:commentRangeStart w:id="3"/>
      <w:r>
        <w:rPr>
          <w:spacing w:val="-2"/>
          <w:sz w:val="32"/>
        </w:rPr>
        <w:t>organizations</w:t>
      </w:r>
      <w:commentRangeEnd w:id="3"/>
      <w:r>
        <w:commentReference w:id="3"/>
      </w:r>
      <w:r>
        <w:rPr>
          <w:spacing w:val="-2"/>
          <w:sz w:val="32"/>
        </w:rPr>
      </w:r>
    </w:p>
    <w:p>
      <w:pPr>
        <w:pStyle w:val="ListParagraph"/>
        <w:numPr>
          <w:ilvl w:val="1"/>
          <w:numId w:val="1"/>
        </w:numPr>
        <w:tabs>
          <w:tab w:val="clear" w:pos="720"/>
          <w:tab w:val="left" w:pos="284" w:leader="none"/>
        </w:tabs>
        <w:spacing w:before="28" w:after="0"/>
        <w:ind w:hanging="282" w:left="284"/>
        <w:rPr>
          <w:sz w:val="32"/>
        </w:rPr>
      </w:pPr>
      <w:r>
        <w:rPr>
          <w:spacing w:val="-2"/>
          <w:sz w:val="32"/>
        </w:rPr>
        <w:t>locations</w:t>
      </w:r>
    </w:p>
    <w:p>
      <w:pPr>
        <w:pStyle w:val="ListParagraph"/>
        <w:numPr>
          <w:ilvl w:val="1"/>
          <w:numId w:val="1"/>
        </w:numPr>
        <w:tabs>
          <w:tab w:val="clear" w:pos="720"/>
          <w:tab w:val="left" w:pos="284" w:leader="none"/>
        </w:tabs>
        <w:spacing w:before="26" w:after="0"/>
        <w:ind w:hanging="282" w:left="284"/>
        <w:rPr>
          <w:sz w:val="32"/>
        </w:rPr>
      </w:pPr>
      <w:r>
        <w:rPr>
          <w:sz w:val="32"/>
        </w:rPr>
        <w:t>medical</w:t>
      </w:r>
      <w:r>
        <w:rPr>
          <w:spacing w:val="-15"/>
          <w:sz w:val="32"/>
        </w:rPr>
        <w:t xml:space="preserve"> </w:t>
      </w:r>
      <w:r>
        <w:rPr>
          <w:spacing w:val="-2"/>
          <w:sz w:val="32"/>
        </w:rPr>
        <w:t>codes</w:t>
      </w:r>
    </w:p>
    <w:p>
      <w:pPr>
        <w:pStyle w:val="ListParagraph"/>
        <w:numPr>
          <w:ilvl w:val="1"/>
          <w:numId w:val="1"/>
        </w:numPr>
        <w:tabs>
          <w:tab w:val="clear" w:pos="720"/>
          <w:tab w:val="left" w:pos="284" w:leader="none"/>
        </w:tabs>
        <w:spacing w:before="28" w:after="0"/>
        <w:ind w:hanging="282" w:left="284"/>
        <w:rPr>
          <w:sz w:val="32"/>
        </w:rPr>
      </w:pPr>
      <w:r>
        <w:rPr>
          <w:sz w:val="32"/>
        </w:rPr>
        <w:t>time</w:t>
      </w:r>
      <w:r>
        <w:rPr>
          <w:spacing w:val="-10"/>
          <w:sz w:val="32"/>
        </w:rPr>
        <w:t xml:space="preserve"> </w:t>
      </w:r>
      <w:r>
        <w:rPr>
          <w:spacing w:val="-2"/>
          <w:sz w:val="32"/>
        </w:rPr>
        <w:t>expressions</w:t>
      </w:r>
    </w:p>
    <w:p>
      <w:pPr>
        <w:pStyle w:val="ListParagraph"/>
        <w:numPr>
          <w:ilvl w:val="1"/>
          <w:numId w:val="1"/>
        </w:numPr>
        <w:tabs>
          <w:tab w:val="clear" w:pos="720"/>
          <w:tab w:val="left" w:pos="284" w:leader="none"/>
        </w:tabs>
        <w:spacing w:before="25" w:after="0"/>
        <w:ind w:hanging="282" w:left="284"/>
        <w:rPr>
          <w:sz w:val="32"/>
        </w:rPr>
      </w:pPr>
      <w:r>
        <w:rPr>
          <w:spacing w:val="-2"/>
          <w:sz w:val="32"/>
        </w:rPr>
        <w:t>quantities</w:t>
      </w:r>
    </w:p>
    <w:p>
      <w:pPr>
        <w:pStyle w:val="ListParagraph"/>
        <w:numPr>
          <w:ilvl w:val="1"/>
          <w:numId w:val="1"/>
        </w:numPr>
        <w:tabs>
          <w:tab w:val="clear" w:pos="720"/>
          <w:tab w:val="left" w:pos="284" w:leader="none"/>
        </w:tabs>
        <w:spacing w:before="28" w:after="0"/>
        <w:ind w:hanging="282" w:left="284"/>
        <w:rPr>
          <w:sz w:val="32"/>
        </w:rPr>
      </w:pPr>
      <w:r>
        <w:rPr>
          <w:spacing w:val="-2"/>
          <w:sz w:val="32"/>
        </w:rPr>
        <w:t>percentages.</w:t>
      </w:r>
      <w:r>
        <w:rPr>
          <w:color w:val="000000"/>
          <w:sz w:val="32"/>
          <w:lang w:val="ru-RU" w:eastAsia="ru-RU"/>
        </w:rPr>
        <w:t xml:space="preserve"> </w:t>
      </w:r>
    </w:p>
    <w:p>
      <w:pPr>
        <w:pStyle w:val="BodyText"/>
        <w:ind w:left="0"/>
        <w:jc w:val="left"/>
        <w:rPr/>
      </w:pPr>
      <w:r>
        <w:rPr/>
      </w:r>
    </w:p>
    <w:p>
      <w:pPr>
        <w:pStyle w:val="BodyText"/>
        <w:spacing w:before="7" w:after="0"/>
        <w:ind w:left="0"/>
        <w:jc w:val="left"/>
        <w:rPr/>
      </w:pPr>
      <w:r>
        <w:rPr/>
      </w:r>
    </w:p>
    <w:p>
      <w:pPr>
        <w:pStyle w:val="BodyText"/>
        <w:spacing w:before="1" w:after="0"/>
        <w:rPr/>
      </w:pPr>
      <w:r>
        <w:rPr/>
        <w:t>Table</w:t>
      </w:r>
      <w:r>
        <w:rPr>
          <w:spacing w:val="-9"/>
        </w:rPr>
        <w:t xml:space="preserve"> </w:t>
      </w:r>
      <w:r>
        <w:rPr/>
        <w:t>1.</w:t>
      </w:r>
      <w:r>
        <w:rPr>
          <w:spacing w:val="-10"/>
        </w:rPr>
        <w:t xml:space="preserve"> </w:t>
      </w:r>
      <w:r>
        <w:rPr/>
        <w:t>Different</w:t>
      </w:r>
      <w:r>
        <w:rPr>
          <w:spacing w:val="-7"/>
        </w:rPr>
        <w:t xml:space="preserve"> </w:t>
      </w:r>
      <w:r>
        <w:rPr>
          <w:spacing w:val="-2"/>
        </w:rPr>
        <w:t>entities</w:t>
      </w:r>
    </w:p>
    <w:p>
      <w:pPr>
        <w:pStyle w:val="BodyText"/>
        <w:spacing w:before="9" w:after="0"/>
        <w:ind w:left="0"/>
        <w:jc w:val="left"/>
        <w:rPr>
          <w:sz w:val="16"/>
        </w:rPr>
      </w:pPr>
      <w:r>
        <w:rPr>
          <w:sz w:val="16"/>
        </w:rPr>
      </w:r>
    </w:p>
    <w:tbl>
      <w:tblPr>
        <w:tblStyle w:val="TableNormal"/>
        <w:tblW w:w="4314" w:type="dxa"/>
        <w:jc w:val="left"/>
        <w:tblInd w:w="12" w:type="dxa"/>
        <w:tblLayout w:type="fixed"/>
        <w:tblCellMar>
          <w:top w:w="0" w:type="dxa"/>
          <w:left w:w="5" w:type="dxa"/>
          <w:bottom w:w="0" w:type="dxa"/>
          <w:right w:w="5" w:type="dxa"/>
        </w:tblCellMar>
        <w:tblLook w:val="01e0" w:noHBand="0" w:noVBand="0" w:firstColumn="1" w:lastRow="1" w:lastColumn="1" w:firstRow="1"/>
      </w:tblPr>
      <w:tblGrid>
        <w:gridCol w:w="2156"/>
        <w:gridCol w:w="2157"/>
      </w:tblGrid>
      <w:tr>
        <w:trPr>
          <w:trHeight w:val="367"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7" w:before="0" w:after="0"/>
              <w:ind w:left="633"/>
              <w:jc w:val="left"/>
              <w:rPr>
                <w:b/>
                <w:sz w:val="32"/>
              </w:rPr>
            </w:pPr>
            <w:r>
              <w:rPr>
                <w:b/>
                <w:spacing w:val="-2"/>
                <w:kern w:val="0"/>
                <w:sz w:val="32"/>
                <w:szCs w:val="22"/>
                <w:lang w:val="en-US" w:eastAsia="en-US" w:bidi="ar-SA"/>
              </w:rPr>
              <w:t>Entity</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7" w:before="0" w:after="0"/>
              <w:ind w:left="5"/>
              <w:rPr>
                <w:b/>
                <w:sz w:val="32"/>
              </w:rPr>
            </w:pPr>
            <w:r>
              <w:rPr>
                <w:b/>
                <w:kern w:val="0"/>
                <w:sz w:val="32"/>
                <w:szCs w:val="22"/>
                <w:lang w:val="en-US" w:eastAsia="en-US" w:bidi="ar-SA"/>
              </w:rPr>
              <w:t>F1</w:t>
            </w:r>
            <w:r>
              <w:rPr>
                <w:b/>
                <w:spacing w:val="-5"/>
                <w:kern w:val="0"/>
                <w:sz w:val="32"/>
                <w:szCs w:val="22"/>
                <w:lang w:val="en-US" w:eastAsia="en-US" w:bidi="ar-SA"/>
              </w:rPr>
              <w:t xml:space="preserve"> </w:t>
            </w:r>
            <w:r>
              <w:rPr>
                <w:b/>
                <w:spacing w:val="-2"/>
                <w:kern w:val="0"/>
                <w:sz w:val="32"/>
                <w:szCs w:val="22"/>
                <w:lang w:val="en-US" w:eastAsia="en-US" w:bidi="ar-SA"/>
              </w:rPr>
              <w:t>measure</w:t>
            </w:r>
          </w:p>
        </w:tc>
      </w:tr>
      <w:tr>
        <w:trPr>
          <w:trHeight w:val="369"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9" w:before="0" w:after="0"/>
              <w:ind w:left="107"/>
              <w:jc w:val="left"/>
              <w:rPr>
                <w:sz w:val="32"/>
              </w:rPr>
            </w:pPr>
            <w:r>
              <w:rPr>
                <w:spacing w:val="-2"/>
                <w:kern w:val="0"/>
                <w:sz w:val="32"/>
                <w:szCs w:val="22"/>
                <w:lang w:val="en-US" w:eastAsia="en-US" w:bidi="ar-SA"/>
              </w:rPr>
              <w:t>Person</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9" w:before="0" w:after="0"/>
              <w:ind w:left="5" w:right="2"/>
              <w:rPr>
                <w:sz w:val="32"/>
              </w:rPr>
            </w:pPr>
            <w:r>
              <w:rPr>
                <w:spacing w:val="-2"/>
                <w:kern w:val="0"/>
                <w:sz w:val="32"/>
                <w:szCs w:val="22"/>
                <w:lang w:val="en-US" w:eastAsia="en-US" w:bidi="ar-SA"/>
              </w:rPr>
              <w:t>64.76</w:t>
            </w:r>
          </w:p>
        </w:tc>
      </w:tr>
      <w:tr>
        <w:trPr>
          <w:trHeight w:val="366"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7" w:before="0" w:after="0"/>
              <w:ind w:left="107"/>
              <w:jc w:val="left"/>
              <w:rPr>
                <w:sz w:val="32"/>
              </w:rPr>
            </w:pPr>
            <w:r>
              <w:rPr>
                <w:spacing w:val="-2"/>
                <w:kern w:val="0"/>
                <w:sz w:val="32"/>
                <w:szCs w:val="22"/>
                <w:lang w:val="en-US" w:eastAsia="en-US" w:bidi="ar-SA"/>
              </w:rPr>
              <w:t>Organization</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7" w:before="0" w:after="0"/>
              <w:ind w:left="5" w:right="2"/>
              <w:rPr>
                <w:sz w:val="32"/>
              </w:rPr>
            </w:pPr>
            <w:r>
              <w:rPr>
                <w:spacing w:val="-2"/>
                <w:kern w:val="0"/>
                <w:sz w:val="32"/>
                <w:szCs w:val="22"/>
                <w:lang w:val="en-US" w:eastAsia="en-US" w:bidi="ar-SA"/>
              </w:rPr>
              <w:t>71.56</w:t>
            </w:r>
          </w:p>
        </w:tc>
      </w:tr>
      <w:tr>
        <w:trPr>
          <w:trHeight w:val="369"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9" w:before="0" w:after="0"/>
              <w:ind w:left="107"/>
              <w:jc w:val="left"/>
              <w:rPr>
                <w:sz w:val="32"/>
              </w:rPr>
            </w:pPr>
            <w:r>
              <w:rPr>
                <w:spacing w:val="-2"/>
                <w:kern w:val="0"/>
                <w:sz w:val="32"/>
                <w:szCs w:val="22"/>
                <w:lang w:val="en-US" w:eastAsia="en-US" w:bidi="ar-SA"/>
              </w:rPr>
              <w:t>Location</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9" w:before="0" w:after="0"/>
              <w:ind w:left="5" w:right="2"/>
              <w:rPr>
                <w:sz w:val="32"/>
              </w:rPr>
            </w:pPr>
            <w:r>
              <w:rPr>
                <w:spacing w:val="-2"/>
                <w:kern w:val="0"/>
                <w:sz w:val="32"/>
                <w:szCs w:val="22"/>
                <w:lang w:val="en-US" w:eastAsia="en-US" w:bidi="ar-SA"/>
              </w:rPr>
              <w:t>54.46</w:t>
            </w:r>
          </w:p>
        </w:tc>
      </w:tr>
      <w:tr>
        <w:trPr>
          <w:trHeight w:val="369"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9" w:before="0" w:after="0"/>
              <w:ind w:left="107"/>
              <w:jc w:val="left"/>
              <w:rPr>
                <w:sz w:val="32"/>
              </w:rPr>
            </w:pPr>
            <w:r>
              <w:rPr>
                <w:spacing w:val="-2"/>
                <w:kern w:val="0"/>
                <w:sz w:val="32"/>
                <w:szCs w:val="22"/>
                <w:lang w:val="en-US" w:eastAsia="en-US" w:bidi="ar-SA"/>
              </w:rPr>
              <w:t>Product</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49" w:before="0" w:after="0"/>
              <w:ind w:left="5" w:right="2"/>
              <w:rPr>
                <w:sz w:val="32"/>
              </w:rPr>
            </w:pPr>
            <w:r>
              <w:rPr>
                <w:spacing w:val="-2"/>
                <w:kern w:val="0"/>
                <w:sz w:val="32"/>
                <w:szCs w:val="22"/>
                <w:lang w:val="en-US" w:eastAsia="en-US" w:bidi="ar-SA"/>
              </w:rPr>
              <w:t>97.92</w:t>
            </w:r>
          </w:p>
        </w:tc>
      </w:tr>
    </w:tbl>
    <w:p>
      <w:pPr>
        <w:pStyle w:val="BodyText"/>
        <w:spacing w:before="185" w:after="0"/>
        <w:ind w:left="0"/>
        <w:jc w:val="left"/>
        <w:rPr/>
      </w:pPr>
      <w:r>
        <w:rPr/>
      </w:r>
    </w:p>
    <w:p>
      <w:pPr>
        <w:pStyle w:val="BodyText"/>
        <w:spacing w:lineRule="auto" w:line="259"/>
        <w:ind w:left="2" w:right="1"/>
        <w:rPr/>
      </w:pPr>
      <w:r>
        <w:rPr/>
        <w:t xml:space="preserve">Most </w:t>
      </w:r>
      <w:hyperlink r:id="rId7">
        <w:r>
          <w:rPr>
            <w:rStyle w:val="ListLabel10"/>
            <w:color w:val="0462C1"/>
            <w:u w:val="single" w:color="0462C1"/>
          </w:rPr>
          <w:t>research on NER/NEE</w:t>
        </w:r>
      </w:hyperlink>
      <w:r>
        <w:rPr>
          <w:color w:val="0462C1"/>
        </w:rPr>
        <w:t xml:space="preserve"> </w:t>
      </w:r>
      <w:r>
        <w:rPr/>
        <w:t>systems has been structured as taking an unannotated block</w:t>
      </w:r>
      <w:r>
        <w:rPr>
          <w:spacing w:val="-1"/>
        </w:rPr>
        <w:t xml:space="preserve"> </w:t>
      </w:r>
      <w:r>
        <w:rPr/>
        <w:t>of</w:t>
      </w:r>
      <w:r>
        <w:rPr>
          <w:spacing w:val="-2"/>
        </w:rPr>
        <w:t xml:space="preserve"> </w:t>
      </w:r>
      <w:r>
        <w:rPr/>
        <w:t>text,</w:t>
      </w:r>
      <w:r>
        <w:rPr>
          <w:spacing w:val="-2"/>
        </w:rPr>
        <w:t xml:space="preserve"> </w:t>
      </w:r>
      <w:r>
        <w:rPr/>
        <w:t>such</w:t>
      </w:r>
      <w:r>
        <w:rPr>
          <w:spacing w:val="-2"/>
        </w:rPr>
        <w:t xml:space="preserve"> </w:t>
      </w:r>
      <w:r>
        <w:rPr/>
        <w:t>as this</w:t>
      </w:r>
      <w:r>
        <w:rPr>
          <w:spacing w:val="-1"/>
        </w:rPr>
        <w:t xml:space="preserve"> </w:t>
      </w:r>
      <w:r>
        <w:rPr/>
        <w:t>one:</w:t>
      </w:r>
    </w:p>
    <w:p>
      <w:pPr>
        <w:pStyle w:val="BodyText"/>
        <w:spacing w:lineRule="auto" w:line="259" w:before="158" w:after="0"/>
        <w:rPr/>
      </w:pPr>
      <w:r>
        <w:rPr/>
        <w:t>Jim bought 300 shares of Acme Corp. in 2006.</w:t>
      </w:r>
    </w:p>
    <w:p>
      <w:pPr>
        <w:pStyle w:val="BodyText"/>
        <w:spacing w:lineRule="auto" w:line="259" w:before="160" w:after="0"/>
        <w:rPr/>
      </w:pPr>
      <w:r>
        <w:rPr/>
        <w:t>And producing an annotated block</w:t>
      </w:r>
      <w:r>
        <w:rPr>
          <w:spacing w:val="-4"/>
        </w:rPr>
        <w:t xml:space="preserve"> </w:t>
      </w:r>
      <w:r>
        <w:rPr/>
        <w:t>of</w:t>
      </w:r>
      <w:r>
        <w:rPr>
          <w:spacing w:val="-5"/>
        </w:rPr>
        <w:t xml:space="preserve"> </w:t>
      </w:r>
      <w:r>
        <w:rPr/>
        <w:t>text</w:t>
      </w:r>
      <w:r>
        <w:rPr>
          <w:spacing w:val="-5"/>
        </w:rPr>
        <w:t xml:space="preserve"> </w:t>
      </w:r>
      <w:r>
        <w:rPr/>
        <w:t>that</w:t>
      </w:r>
      <w:r>
        <w:rPr>
          <w:spacing w:val="-7"/>
        </w:rPr>
        <w:t xml:space="preserve"> </w:t>
      </w:r>
      <w:r>
        <w:rPr/>
        <w:t>highlights</w:t>
      </w:r>
      <w:r>
        <w:rPr>
          <w:spacing w:val="-4"/>
        </w:rPr>
        <w:t xml:space="preserve"> </w:t>
      </w:r>
      <w:r>
        <w:rPr/>
        <w:t>the names of entities:</w:t>
      </w:r>
    </w:p>
    <w:p>
      <w:pPr>
        <w:pStyle w:val="BodyText"/>
        <w:spacing w:lineRule="auto" w:line="259" w:before="159" w:after="0"/>
        <w:rPr/>
      </w:pPr>
      <w:r>
        <w:rPr/>
        <w:t>Jim (Person) bought 300 shares of Acme Corp. (Organization) in 2006 (Time).</w:t>
      </w:r>
    </w:p>
    <w:p>
      <w:pPr>
        <w:pStyle w:val="BodyText"/>
        <w:spacing w:lineRule="auto" w:line="259" w:before="69" w:after="0"/>
        <w:ind w:left="2" w:right="1034"/>
        <w:jc w:val="left"/>
        <w:rPr/>
      </w:pPr>
      <w:r>
        <w:br w:type="column"/>
      </w:r>
      <w:r>
        <w:rPr/>
        <w:t>Table</w:t>
      </w:r>
      <w:r>
        <w:rPr>
          <w:spacing w:val="-10"/>
        </w:rPr>
        <w:t xml:space="preserve"> </w:t>
      </w:r>
      <w:r>
        <w:rPr/>
        <w:t>2.</w:t>
      </w:r>
      <w:r>
        <w:rPr>
          <w:spacing w:val="-11"/>
        </w:rPr>
        <w:t xml:space="preserve"> </w:t>
      </w:r>
      <w:r>
        <w:rPr/>
        <w:t>Results</w:t>
      </w:r>
      <w:r>
        <w:rPr>
          <w:spacing w:val="-8"/>
        </w:rPr>
        <w:t xml:space="preserve"> </w:t>
      </w:r>
      <w:r>
        <w:rPr/>
        <w:t>of</w:t>
      </w:r>
      <w:r>
        <w:rPr>
          <w:spacing w:val="-11"/>
        </w:rPr>
        <w:t xml:space="preserve"> </w:t>
      </w:r>
      <w:r>
        <w:rPr/>
        <w:t xml:space="preserve">NER </w:t>
      </w:r>
      <w:r>
        <w:rPr>
          <w:spacing w:val="-2"/>
        </w:rPr>
        <w:t>models</w:t>
      </w:r>
    </w:p>
    <w:p>
      <w:pPr>
        <w:pStyle w:val="BodyText"/>
        <w:spacing w:before="5" w:after="0"/>
        <w:ind w:left="0"/>
        <w:jc w:val="left"/>
        <w:rPr>
          <w:sz w:val="14"/>
        </w:rPr>
      </w:pPr>
      <w:r>
        <w:rPr>
          <w:sz w:val="14"/>
        </w:rPr>
      </w:r>
    </w:p>
    <w:tbl>
      <w:tblPr>
        <w:tblStyle w:val="TableNormal"/>
        <w:tblW w:w="4305" w:type="dxa"/>
        <w:jc w:val="left"/>
        <w:tblInd w:w="22" w:type="dxa"/>
        <w:tblLayout w:type="fixed"/>
        <w:tblCellMar>
          <w:top w:w="0" w:type="dxa"/>
          <w:left w:w="10" w:type="dxa"/>
          <w:bottom w:w="0" w:type="dxa"/>
          <w:right w:w="10" w:type="dxa"/>
        </w:tblCellMar>
        <w:tblLook w:val="01e0" w:noHBand="0" w:noVBand="0" w:firstColumn="1" w:lastRow="1" w:lastColumn="1" w:firstRow="1"/>
      </w:tblPr>
      <w:tblGrid>
        <w:gridCol w:w="1762"/>
        <w:gridCol w:w="1489"/>
        <w:gridCol w:w="1054"/>
      </w:tblGrid>
      <w:tr>
        <w:trPr>
          <w:trHeight w:val="568" w:hRule="atLeast"/>
        </w:trPr>
        <w:tc>
          <w:tcPr>
            <w:tcW w:w="1762"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8" w:after="0"/>
              <w:rPr>
                <w:b/>
                <w:sz w:val="28"/>
              </w:rPr>
            </w:pPr>
            <w:r>
              <w:rPr>
                <w:b/>
                <w:spacing w:val="-2"/>
                <w:kern w:val="0"/>
                <w:sz w:val="28"/>
                <w:szCs w:val="22"/>
                <w:lang w:val="en-US" w:eastAsia="en-US" w:bidi="ar-SA"/>
              </w:rPr>
              <w:t>Method</w:t>
            </w:r>
          </w:p>
        </w:tc>
        <w:tc>
          <w:tcPr>
            <w:tcW w:w="148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8" w:after="0"/>
              <w:ind w:left="18"/>
              <w:rPr>
                <w:b/>
                <w:sz w:val="28"/>
              </w:rPr>
            </w:pPr>
            <w:r>
              <w:rPr>
                <w:b/>
                <w:spacing w:val="-2"/>
                <w:kern w:val="0"/>
                <w:sz w:val="28"/>
                <w:szCs w:val="22"/>
                <w:lang w:val="en-US" w:eastAsia="en-US" w:bidi="ar-SA"/>
              </w:rPr>
              <w:t>Precision</w:t>
            </w:r>
          </w:p>
        </w:tc>
        <w:tc>
          <w:tcPr>
            <w:tcW w:w="105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8" w:after="0"/>
              <w:ind w:left="17" w:right="2"/>
              <w:rPr>
                <w:b/>
                <w:sz w:val="28"/>
              </w:rPr>
            </w:pPr>
            <w:r>
              <w:rPr>
                <w:b/>
                <w:spacing w:val="-2"/>
                <w:kern w:val="0"/>
                <w:sz w:val="28"/>
                <w:szCs w:val="22"/>
                <w:lang w:val="en-US" w:eastAsia="en-US" w:bidi="ar-SA"/>
              </w:rPr>
              <w:t>Recall</w:t>
            </w:r>
          </w:p>
        </w:tc>
      </w:tr>
      <w:tr>
        <w:trPr>
          <w:trHeight w:val="565" w:hRule="atLeast"/>
        </w:trPr>
        <w:tc>
          <w:tcPr>
            <w:tcW w:w="1762"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8" w:after="0"/>
              <w:rPr>
                <w:sz w:val="28"/>
              </w:rPr>
            </w:pPr>
            <w:commentRangeStart w:id="4"/>
            <w:r>
              <w:rPr>
                <w:spacing w:val="-4"/>
                <w:kern w:val="0"/>
                <w:sz w:val="28"/>
                <w:szCs w:val="22"/>
                <w:lang w:val="en-US" w:eastAsia="en-US" w:bidi="ar-SA"/>
              </w:rPr>
              <w:t>LSTM</w:t>
            </w:r>
            <w:commentRangeEnd w:id="4"/>
            <w:r>
              <w:commentReference w:id="4"/>
            </w:r>
            <w:r>
              <w:rPr>
                <w:spacing w:val="-4"/>
                <w:kern w:val="0"/>
                <w:sz w:val="28"/>
                <w:szCs w:val="22"/>
                <w:lang w:val="en-US" w:eastAsia="en-US" w:bidi="ar-SA"/>
              </w:rPr>
            </w:r>
          </w:p>
        </w:tc>
        <w:tc>
          <w:tcPr>
            <w:tcW w:w="148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8" w:after="0"/>
              <w:ind w:left="18" w:right="2"/>
              <w:rPr>
                <w:sz w:val="28"/>
              </w:rPr>
            </w:pPr>
            <w:r>
              <w:rPr>
                <w:spacing w:val="-2"/>
                <w:kern w:val="0"/>
                <w:sz w:val="28"/>
                <w:szCs w:val="22"/>
                <w:lang w:val="en-US" w:eastAsia="en-US" w:bidi="ar-SA"/>
              </w:rPr>
              <w:t>0.978</w:t>
            </w:r>
          </w:p>
        </w:tc>
        <w:tc>
          <w:tcPr>
            <w:tcW w:w="105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8" w:after="0"/>
              <w:rPr>
                <w:sz w:val="28"/>
              </w:rPr>
            </w:pPr>
            <w:r>
              <w:rPr>
                <w:spacing w:val="-2"/>
                <w:kern w:val="0"/>
                <w:sz w:val="28"/>
                <w:szCs w:val="22"/>
                <w:lang w:val="en-US" w:eastAsia="en-US" w:bidi="ar-SA"/>
              </w:rPr>
              <w:t>0.572</w:t>
            </w:r>
          </w:p>
        </w:tc>
      </w:tr>
      <w:tr>
        <w:trPr>
          <w:trHeight w:val="644" w:hRule="atLeast"/>
        </w:trPr>
        <w:tc>
          <w:tcPr>
            <w:tcW w:w="1762"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322" w:before="0" w:after="0"/>
              <w:ind w:firstLine="170" w:left="318"/>
              <w:jc w:val="left"/>
              <w:rPr>
                <w:sz w:val="28"/>
              </w:rPr>
            </w:pPr>
            <w:r>
              <w:rPr>
                <w:spacing w:val="-2"/>
                <w:kern w:val="0"/>
                <w:sz w:val="28"/>
                <w:szCs w:val="22"/>
                <w:lang w:val="en-US" w:eastAsia="en-US" w:bidi="ar-SA"/>
              </w:rPr>
              <w:t>neural networks</w:t>
            </w:r>
          </w:p>
        </w:tc>
        <w:tc>
          <w:tcPr>
            <w:tcW w:w="148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59" w:after="0"/>
              <w:ind w:left="18" w:right="2"/>
              <w:rPr>
                <w:sz w:val="28"/>
              </w:rPr>
            </w:pPr>
            <w:r>
              <w:rPr>
                <w:spacing w:val="-2"/>
                <w:kern w:val="0"/>
                <w:sz w:val="28"/>
                <w:szCs w:val="22"/>
                <w:lang w:val="en-US" w:eastAsia="en-US" w:bidi="ar-SA"/>
              </w:rPr>
              <w:t>0.683</w:t>
            </w:r>
          </w:p>
        </w:tc>
        <w:tc>
          <w:tcPr>
            <w:tcW w:w="105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59" w:after="0"/>
              <w:rPr>
                <w:sz w:val="28"/>
              </w:rPr>
            </w:pPr>
            <w:r>
              <w:rPr>
                <w:spacing w:val="-2"/>
                <w:kern w:val="0"/>
                <w:sz w:val="28"/>
                <w:szCs w:val="22"/>
                <w:lang w:val="en-US" w:eastAsia="en-US" w:bidi="ar-SA"/>
              </w:rPr>
              <w:t>0.237</w:t>
            </w:r>
          </w:p>
        </w:tc>
      </w:tr>
      <w:tr>
        <w:trPr>
          <w:trHeight w:val="644" w:hRule="atLeast"/>
        </w:trPr>
        <w:tc>
          <w:tcPr>
            <w:tcW w:w="1762"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322" w:before="0" w:after="0"/>
              <w:ind w:firstLine="312" w:left="131"/>
              <w:jc w:val="left"/>
              <w:rPr>
                <w:sz w:val="28"/>
              </w:rPr>
            </w:pPr>
            <w:r>
              <w:rPr>
                <w:spacing w:val="-2"/>
                <w:kern w:val="0"/>
                <w:sz w:val="28"/>
                <w:szCs w:val="22"/>
                <w:lang w:val="en-US" w:eastAsia="en-US" w:bidi="ar-SA"/>
              </w:rPr>
              <w:t>regular expressions</w:t>
            </w:r>
          </w:p>
        </w:tc>
        <w:tc>
          <w:tcPr>
            <w:tcW w:w="148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57" w:after="0"/>
              <w:ind w:left="18" w:right="2"/>
              <w:rPr>
                <w:sz w:val="28"/>
              </w:rPr>
            </w:pPr>
            <w:r>
              <w:rPr>
                <w:spacing w:val="-2"/>
                <w:kern w:val="0"/>
                <w:sz w:val="28"/>
                <w:szCs w:val="22"/>
                <w:lang w:val="en-US" w:eastAsia="en-US" w:bidi="ar-SA"/>
              </w:rPr>
              <w:t>0.261</w:t>
            </w:r>
          </w:p>
        </w:tc>
        <w:tc>
          <w:tcPr>
            <w:tcW w:w="105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57" w:after="0"/>
              <w:ind w:left="17" w:right="5"/>
              <w:rPr>
                <w:sz w:val="28"/>
              </w:rPr>
            </w:pPr>
            <w:r>
              <w:rPr>
                <w:spacing w:val="-10"/>
                <w:kern w:val="0"/>
                <w:sz w:val="28"/>
                <w:szCs w:val="22"/>
                <w:lang w:val="en-US" w:eastAsia="en-US" w:bidi="ar-SA"/>
              </w:rPr>
              <w:t>-</w:t>
            </w:r>
          </w:p>
        </w:tc>
      </w:tr>
    </w:tbl>
    <w:p>
      <w:pPr>
        <w:pStyle w:val="Normal"/>
        <w:rPr/>
      </w:pPr>
      <w:r>
        <w:rPr/>
      </w:r>
      <w:bookmarkStart w:id="0" w:name="_GoBack"/>
      <w:bookmarkStart w:id="1" w:name="_GoBack"/>
      <w:bookmarkEnd w:id="1"/>
    </w:p>
    <w:sectPr>
      <w:type w:val="nextPage"/>
      <w:pgSz w:w="11906" w:h="16838"/>
      <w:pgMar w:left="1700" w:right="708" w:gutter="0" w:header="0" w:top="1040" w:footer="0" w:bottom="280"/>
      <w:pgNumType w:fmt="decimal"/>
      <w:cols w:num="2" w:equalWidth="false" w:sep="false">
        <w:col w:w="4323" w:space="706"/>
        <w:col w:w="4468"/>
      </w:cols>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Безуглова Алина Андреевна" w:date="2025-11-13T15:52:00Z" w:initials="БАА">
    <w:p w14:paraId="01000000">
      <w:pPr>
        <w:overflowPunct w:val="false"/>
        <w:rPr/>
      </w:pPr>
      <w:r>
        <w:rPr>
          <w:rFonts w:ascii="Liberation Serif" w:hAnsi="Liberation Serif" w:eastAsia="DejaVu Sans" w:cs="Noto Sans Arabic UI"/>
          <w:sz w:val="24"/>
          <w:szCs w:val="24"/>
          <w:lang w:val="en-US" w:eastAsia="en-US" w:bidi="en-US"/>
        </w:rPr>
        <w:t>Interesting</w:t>
      </w:r>
      <w:r>
        <w:rPr>
          <w:rFonts w:ascii="Liberation Serif" w:hAnsi="Liberation Serif" w:eastAsia="DejaVu Sans" w:cs="Noto Sans Arabic UI"/>
          <w:sz w:val="24"/>
          <w:szCs w:val="24"/>
          <w:lang w:eastAsia="en-US" w:bidi="en-US" w:val="ru-RU"/>
        </w:rPr>
        <w:t xml:space="preserve"> </w:t>
      </w:r>
      <w:r>
        <w:rPr>
          <w:rFonts w:ascii="Liberation Serif" w:hAnsi="Liberation Serif" w:eastAsia="DejaVu Sans" w:cs="Noto Sans Arabic UI"/>
          <w:sz w:val="24"/>
          <w:szCs w:val="24"/>
          <w:lang w:val="en-US" w:eastAsia="en-US" w:bidi="en-US"/>
        </w:rPr>
        <w:t>entity</w:t>
      </w:r>
      <w:r>
        <w:rPr>
          <w:rFonts w:ascii="Liberation Serif" w:hAnsi="Liberation Serif" w:eastAsia="DejaVu Sans" w:cs="Noto Sans Arabic UI"/>
          <w:sz w:val="24"/>
          <w:szCs w:val="24"/>
          <w:lang w:eastAsia="en-US" w:bidi="en-US" w:val="ru-RU"/>
        </w:rPr>
        <w:t xml:space="preserve"> </w:t>
      </w:r>
      <w:r>
        <w:rPr>
          <w:rFonts w:ascii="Liberation Serif" w:hAnsi="Liberation Serif" w:eastAsia="DejaVu Sans" w:cs="Noto Sans Arabic UI"/>
          <w:sz w:val="24"/>
          <w:szCs w:val="24"/>
          <w:lang w:val="en-US" w:eastAsia="en-US" w:bidi="en-US"/>
        </w:rPr>
        <w:t>type</w:t>
      </w:r>
    </w:p>
  </w:comment>
  <w:comment w:id="1" w:author="Unknown Author" w:date="2026-03-02T12:40:17Z" w:initials="">
    <w:p>
      <w:pPr>
        <w:overflowPunct w:val="false"/>
        <w:rPr/>
      </w:pPr>
      <w:r>
        <w:rPr>
          <w:rFonts w:ascii="Liberation Serif" w:hAnsi="Liberation Serif" w:eastAsia="DejaVu Sans" w:cs="Noto Sans Arabic UI"/>
          <w:i/>
          <w:sz w:val="16"/>
          <w:szCs w:val="24"/>
          <w:lang w:val="en-US" w:eastAsia="en-US" w:bidi="en-US"/>
        </w:rPr>
        <w:t>Reply to Безуглова Алина Андреевна (11/13/2025, 15:52): "..."</w:t>
      </w:r>
    </w:p>
    <w:p w14:paraId="02000000">
      <w:pPr>
        <w:overflowPunct w:val="false"/>
        <w:rPr/>
      </w:pPr>
      <w:r>
        <w:rPr>
          <w:rFonts w:ascii="Liberation Serif" w:hAnsi="Liberation Serif" w:eastAsia="DejaVu Sans" w:cs="Noto Sans Arabic UI"/>
          <w:sz w:val="24"/>
          <w:szCs w:val="24"/>
          <w:lang w:val="en-US" w:eastAsia="en-US" w:bidi="en-US"/>
        </w:rPr>
        <w:t>Some reply</w:t>
      </w:r>
    </w:p>
  </w:comment>
  <w:comment w:id="2" w:author="Unknown Author" w:date="2026-03-02T12:40:43Z" w:initials="">
    <w:p>
      <w:pPr>
        <w:overflowPunct w:val="false"/>
        <w:rPr/>
      </w:pPr>
      <w:r>
        <w:rPr>
          <w:rFonts w:ascii="Liberation Serif" w:hAnsi="Liberation Serif" w:eastAsia="DejaVu Sans" w:cs="Noto Sans Arabic UI"/>
          <w:sz w:val="24"/>
          <w:szCs w:val="24"/>
          <w:lang w:val="en-US" w:eastAsia="en-US" w:bidi="en-US"/>
        </w:rPr>
        <w:t>New comment</w:t>
      </w:r>
    </w:p>
  </w:comment>
  <w:comment w:id="3" w:author="Байкова Екатерина Юрьевна" w:date="2026-02-27T14:44:00Z" w:initials="БЕЮ">
    <w:p>
      <w:pPr>
        <w:overflowPunct w:val="false"/>
        <w:rPr/>
      </w:pPr>
      <w:r>
        <w:rPr>
          <w:rFonts w:ascii="Liberation Serif" w:hAnsi="Liberation Serif" w:eastAsia="DejaVu Sans" w:cs="Noto Sans Arabic UI"/>
          <w:sz w:val="24"/>
          <w:szCs w:val="24"/>
          <w:lang w:eastAsia="en-US" w:bidi="en-US" w:val="ru-RU"/>
        </w:rPr>
        <w:t>Примечание об организации</w:t>
      </w:r>
    </w:p>
  </w:comment>
  <w:comment w:id="4" w:author="Байкова Екатерина Юрьевна" w:date="2026-02-27T14:44:00Z" w:initials="БЕЮ">
    <w:p>
      <w:pPr>
        <w:overflowPunct w:val="false"/>
        <w:rPr/>
      </w:pPr>
      <w:r>
        <w:rPr>
          <w:rFonts w:ascii="Liberation Serif" w:hAnsi="Liberation Serif" w:eastAsia="DejaVu Sans" w:cs="Noto Sans Arabic UI"/>
          <w:sz w:val="24"/>
          <w:szCs w:val="24"/>
          <w:lang w:eastAsia="en-US" w:bidi="en-US" w:val="ru-RU"/>
        </w:rPr>
        <w:t xml:space="preserve">Примечание о методе </w:t>
      </w:r>
      <w:r>
        <w:rPr>
          <w:rFonts w:ascii="Liberation Serif" w:hAnsi="Liberation Serif" w:eastAsia="DejaVu Sans" w:cs="Noto Sans Arabic UI"/>
          <w:sz w:val="24"/>
          <w:szCs w:val="24"/>
          <w:lang w:val="en-US" w:eastAsia="en-US" w:bidi="en-US"/>
        </w:rPr>
        <w:t>LSTM</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85" w:hanging="284"/>
      </w:pPr>
      <w:rPr>
        <w:sz w:val="30"/>
        <w:spacing w:val="0"/>
        <w:i w:val="false"/>
        <w:b w:val="false"/>
        <w:szCs w:val="30"/>
        <w:iCs w:val="false"/>
        <w:bCs w:val="false"/>
        <w:w w:val="99"/>
        <w:rFonts w:ascii="Arial" w:hAnsi="Arial" w:eastAsia="Arial" w:cs="Arial"/>
        <w:lang w:val="en-US" w:eastAsia="en-US" w:bidi="ar-SA"/>
      </w:rPr>
    </w:lvl>
    <w:lvl w:ilvl="1">
      <w:start w:val="0"/>
      <w:numFmt w:val="bullet"/>
      <w:lvlText w:val=""/>
      <w:lvlJc w:val="left"/>
      <w:pPr>
        <w:tabs>
          <w:tab w:val="num" w:pos="0"/>
        </w:tabs>
        <w:ind w:left="285" w:hanging="284"/>
      </w:pPr>
      <w:rPr>
        <w:rFonts w:ascii="Symbol" w:hAnsi="Symbol" w:cs="Symbol" w:hint="default"/>
        <w:sz w:val="32"/>
        <w:spacing w:val="0"/>
        <w:i w:val="false"/>
        <w:b w:val="false"/>
        <w:szCs w:val="32"/>
        <w:iCs w:val="false"/>
        <w:bCs w:val="false"/>
        <w:w w:val="99"/>
        <w:lang w:val="en-US" w:eastAsia="en-US" w:bidi="ar-SA"/>
      </w:rPr>
    </w:lvl>
    <w:lvl w:ilvl="2">
      <w:start w:val="0"/>
      <w:numFmt w:val="bullet"/>
      <w:lvlText w:val=""/>
      <w:lvlJc w:val="left"/>
      <w:pPr>
        <w:tabs>
          <w:tab w:val="num" w:pos="0"/>
        </w:tabs>
        <w:ind w:left="1088" w:hanging="284"/>
      </w:pPr>
      <w:rPr>
        <w:rFonts w:ascii="Symbol" w:hAnsi="Symbol" w:cs="Symbol" w:hint="default"/>
        <w:lang w:val="en-US" w:eastAsia="en-US" w:bidi="ar-SA"/>
      </w:rPr>
    </w:lvl>
    <w:lvl w:ilvl="3">
      <w:start w:val="0"/>
      <w:numFmt w:val="bullet"/>
      <w:lvlText w:val=""/>
      <w:lvlJc w:val="left"/>
      <w:pPr>
        <w:tabs>
          <w:tab w:val="num" w:pos="0"/>
        </w:tabs>
        <w:ind w:left="1493" w:hanging="284"/>
      </w:pPr>
      <w:rPr>
        <w:rFonts w:ascii="Symbol" w:hAnsi="Symbol" w:cs="Symbol" w:hint="default"/>
        <w:lang w:val="en-US" w:eastAsia="en-US" w:bidi="ar-SA"/>
      </w:rPr>
    </w:lvl>
    <w:lvl w:ilvl="4">
      <w:start w:val="0"/>
      <w:numFmt w:val="bullet"/>
      <w:lvlText w:val=""/>
      <w:lvlJc w:val="left"/>
      <w:pPr>
        <w:tabs>
          <w:tab w:val="num" w:pos="0"/>
        </w:tabs>
        <w:ind w:left="1897" w:hanging="284"/>
      </w:pPr>
      <w:rPr>
        <w:rFonts w:ascii="Symbol" w:hAnsi="Symbol" w:cs="Symbol" w:hint="default"/>
        <w:lang w:val="en-US" w:eastAsia="en-US" w:bidi="ar-SA"/>
      </w:rPr>
    </w:lvl>
    <w:lvl w:ilvl="5">
      <w:start w:val="0"/>
      <w:numFmt w:val="bullet"/>
      <w:lvlText w:val=""/>
      <w:lvlJc w:val="left"/>
      <w:pPr>
        <w:tabs>
          <w:tab w:val="num" w:pos="0"/>
        </w:tabs>
        <w:ind w:left="2302" w:hanging="284"/>
      </w:pPr>
      <w:rPr>
        <w:rFonts w:ascii="Symbol" w:hAnsi="Symbol" w:cs="Symbol" w:hint="default"/>
        <w:lang w:val="en-US" w:eastAsia="en-US" w:bidi="ar-SA"/>
      </w:rPr>
    </w:lvl>
    <w:lvl w:ilvl="6">
      <w:start w:val="0"/>
      <w:numFmt w:val="bullet"/>
      <w:lvlText w:val=""/>
      <w:lvlJc w:val="left"/>
      <w:pPr>
        <w:tabs>
          <w:tab w:val="num" w:pos="0"/>
        </w:tabs>
        <w:ind w:left="2706" w:hanging="284"/>
      </w:pPr>
      <w:rPr>
        <w:rFonts w:ascii="Symbol" w:hAnsi="Symbol" w:cs="Symbol" w:hint="default"/>
        <w:lang w:val="en-US" w:eastAsia="en-US" w:bidi="ar-SA"/>
      </w:rPr>
    </w:lvl>
    <w:lvl w:ilvl="7">
      <w:start w:val="0"/>
      <w:numFmt w:val="bullet"/>
      <w:lvlText w:val=""/>
      <w:lvlJc w:val="left"/>
      <w:pPr>
        <w:tabs>
          <w:tab w:val="num" w:pos="0"/>
        </w:tabs>
        <w:ind w:left="3111" w:hanging="284"/>
      </w:pPr>
      <w:rPr>
        <w:rFonts w:ascii="Symbol" w:hAnsi="Symbol" w:cs="Symbol" w:hint="default"/>
        <w:lang w:val="en-US" w:eastAsia="en-US" w:bidi="ar-SA"/>
      </w:rPr>
    </w:lvl>
    <w:lvl w:ilvl="8">
      <w:start w:val="0"/>
      <w:numFmt w:val="bullet"/>
      <w:lvlText w:val=""/>
      <w:lvlJc w:val="left"/>
      <w:pPr>
        <w:tabs>
          <w:tab w:val="num" w:pos="0"/>
        </w:tabs>
        <w:ind w:left="3515" w:hanging="284"/>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Arial" w:hAnsi="Arial" w:eastAsia="Arial" w:cs="Arial"/>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Style14" w:customStyle="1">
    <w:name w:val="Текст примечания Знак"/>
    <w:basedOn w:val="DefaultParagraphFont"/>
    <w:link w:val="AnnotationText"/>
    <w:uiPriority w:val="99"/>
    <w:semiHidden/>
    <w:qFormat/>
    <w:rPr>
      <w:rFonts w:ascii="Arial" w:hAnsi="Arial" w:eastAsia="Arial" w:cs="Arial"/>
      <w:sz w:val="20"/>
      <w:szCs w:val="20"/>
    </w:rPr>
  </w:style>
  <w:style w:type="character" w:styleId="annotationreference">
    <w:name w:val="annotation reference"/>
    <w:basedOn w:val="DefaultParagraphFont"/>
    <w:uiPriority w:val="99"/>
    <w:semiHidden/>
    <w:unhideWhenUsed/>
    <w:qFormat/>
    <w:rPr>
      <w:sz w:val="16"/>
      <w:szCs w:val="16"/>
    </w:rPr>
  </w:style>
  <w:style w:type="character" w:styleId="Style15" w:customStyle="1">
    <w:name w:val="Текст выноски Знак"/>
    <w:basedOn w:val="DefaultParagraphFont"/>
    <w:link w:val="BalloonText"/>
    <w:uiPriority w:val="99"/>
    <w:semiHidden/>
    <w:qFormat/>
    <w:rsid w:val="00903ad1"/>
    <w:rPr>
      <w:rFonts w:ascii="Segoe UI" w:hAnsi="Segoe UI" w:eastAsia="Arial" w:cs="Segoe UI"/>
      <w:sz w:val="18"/>
      <w:szCs w:val="18"/>
    </w:rPr>
  </w:style>
  <w:style w:type="character" w:styleId="Style16" w:customStyle="1">
    <w:name w:val="Тема примечания Знак"/>
    <w:basedOn w:val="Style14"/>
    <w:link w:val="annotationsubject"/>
    <w:uiPriority w:val="99"/>
    <w:semiHidden/>
    <w:qFormat/>
    <w:rsid w:val="0082719e"/>
    <w:rPr>
      <w:rFonts w:ascii="Arial" w:hAnsi="Arial" w:eastAsia="Arial" w:cs="Arial"/>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left="2"/>
      <w:jc w:val="both"/>
    </w:pPr>
    <w:rPr>
      <w:sz w:val="32"/>
      <w:szCs w:val="3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68" w:after="0"/>
      <w:ind w:left="2"/>
      <w:jc w:val="both"/>
    </w:pPr>
    <w:rPr>
      <w:b/>
      <w:bCs/>
      <w:sz w:val="36"/>
      <w:szCs w:val="36"/>
    </w:rPr>
  </w:style>
  <w:style w:type="paragraph" w:styleId="ListParagraph">
    <w:name w:val="List Paragraph"/>
    <w:basedOn w:val="Normal"/>
    <w:uiPriority w:val="1"/>
    <w:qFormat/>
    <w:pPr>
      <w:ind w:hanging="282" w:left="284"/>
    </w:pPr>
    <w:rPr/>
  </w:style>
  <w:style w:type="paragraph" w:styleId="TableParagraph" w:customStyle="1">
    <w:name w:val="Table Paragraph"/>
    <w:basedOn w:val="Normal"/>
    <w:uiPriority w:val="1"/>
    <w:qFormat/>
    <w:pPr>
      <w:ind w:left="17"/>
      <w:jc w:val="center"/>
    </w:pPr>
    <w:rPr/>
  </w:style>
  <w:style w:type="paragraph" w:styleId="AnnotationText">
    <w:name w:val="Annotation Text"/>
    <w:basedOn w:val="Normal"/>
    <w:link w:val="Style14"/>
    <w:uiPriority w:val="99"/>
    <w:semiHidden/>
    <w:unhideWhenUsed/>
    <w:pPr/>
    <w:rPr>
      <w:sz w:val="20"/>
      <w:szCs w:val="20"/>
    </w:rPr>
  </w:style>
  <w:style w:type="paragraph" w:styleId="BalloonText">
    <w:name w:val="Balloon Text"/>
    <w:basedOn w:val="Normal"/>
    <w:link w:val="Style15"/>
    <w:uiPriority w:val="99"/>
    <w:semiHidden/>
    <w:unhideWhenUsed/>
    <w:qFormat/>
    <w:rsid w:val="00903ad1"/>
    <w:pPr/>
    <w:rPr>
      <w:rFonts w:ascii="Segoe UI" w:hAnsi="Segoe UI" w:cs="Segoe UI"/>
      <w:sz w:val="18"/>
      <w:szCs w:val="18"/>
    </w:rPr>
  </w:style>
  <w:style w:type="paragraph" w:styleId="annotationsubject">
    <w:name w:val="annotation subject"/>
    <w:basedOn w:val="AnnotationText"/>
    <w:next w:val="AnnotationText"/>
    <w:link w:val="Style16"/>
    <w:uiPriority w:val="99"/>
    <w:semiHidden/>
    <w:unhideWhenUsed/>
    <w:qFormat/>
    <w:rsid w:val="0082719e"/>
    <w:pPr/>
    <w:rPr>
      <w:b/>
      <w:bCs/>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insight.rpxcorp.com/patent/US20090293128A1" TargetMode="External"/><Relationship Id="rId4" Type="http://schemas.openxmlformats.org/officeDocument/2006/relationships/hyperlink" Target="https://en.wikipedia.org/wiki/Named-entity_recognition" TargetMode="External"/><Relationship Id="rId5" Type="http://schemas.openxmlformats.org/officeDocument/2006/relationships/hyperlink" Target="https://en.wikipedia.org/wiki/Named-entity_recognition" TargetMode="External"/><Relationship Id="rId6" Type="http://schemas.openxmlformats.org/officeDocument/2006/relationships/image" Target="media/image1.png"/><Relationship Id="rId7" Type="http://schemas.openxmlformats.org/officeDocument/2006/relationships/hyperlink" Target="https://paperswithcode.com/task/named-entity-recognition-ner" TargetMode="Externa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ages>2</Pages>
  <Words>406</Words>
  <Characters>2219</Characters>
  <CharactersWithSpaces>2573</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2025-11-11T10:48:00Z</dcterms:created>
  <dc:creator>Andrew Perminov</dc:creator>
  <dc:description/>
  <dc:language>en-US</dc:language>
  <cp:lastModifiedBy/>
  <dcterms:modified xsi:type="dcterms:W3CDTF">2026-03-02T12:41:02Z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2022-12-20T00:00:00Z</vt:filetime>
  </property>
  <property fmtid="{D5CDD505-2E9C-101B-9397-08002B2CF9AE}" pid="3" name="Creator">
    <vt:lpwstr>Microsoft® Word 2016</vt:lpwstr>
  </property>
  <property fmtid="{D5CDD505-2E9C-101B-9397-08002B2CF9AE}" pid="4" name="LastSaved">
    <vt:filetime>2025-11-11T00:00:00Z</vt:filetime>
  </property>
  <property fmtid="{D5CDD505-2E9C-101B-9397-08002B2CF9AE}" pid="5" name="Producer">
    <vt:lpwstr>3-Heights(TM) PDF Security Shell 4.8.25.2 (http://www.pdf-tools.com)</vt:lpwstr>
  </property>
</Properties>
</file>