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2"/>
        <w:rPr/>
      </w:pPr>
      <w:r>
        <w:rPr/>
      </w:r>
    </w:p>
    <w:p>
      <w:pPr>
        <w:pStyle w:val="Normal2"/>
        <w:rPr/>
      </w:pPr>
      <w:r>
        <w:rPr/>
      </w:r>
    </w:p>
    <w:p>
      <w:pPr>
        <w:pStyle w:val="Normal2"/>
        <w:rPr/>
      </w:pPr>
      <w:r>
        <w:rPr/>
      </w:r>
    </w:p>
    <w:p>
      <w:pPr>
        <w:pStyle w:val="Normal2"/>
        <w:rPr/>
      </w:pPr>
      <w:r>
        <w:rPr/>
      </w:r>
    </w:p>
    <w:p>
      <w:pPr>
        <w:pStyle w:val="Normal2"/>
        <w:rPr/>
      </w:pPr>
      <w:r>
        <w:rPr/>
      </w:r>
    </w:p>
    <w:p>
      <w:pPr>
        <w:pStyle w:val="Normal2"/>
        <w:rPr/>
      </w:pPr>
      <w:r>
        <w:rPr/>
      </w:r>
    </w:p>
    <w:p>
      <w:pPr>
        <w:pStyle w:val="Normal2"/>
        <w:rPr/>
      </w:pPr>
      <w:r>
        <w:rPr/>
      </w:r>
    </w:p>
    <w:p>
      <w:pPr>
        <w:pStyle w:val="Normal2"/>
        <w:rPr/>
      </w:pPr>
      <w:r>
        <w:rPr/>
      </w:r>
    </w:p>
    <w:p>
      <w:pPr>
        <w:pStyle w:val="Normal2"/>
        <w:ind w:start="0" w:end="0" w:hanging="0"/>
        <w:jc w:val="center"/>
        <w:rPr/>
      </w:pPr>
      <w:r>
        <w:rPr>
          <w:lang w:val="ru-RU"/>
        </w:rPr>
        <w:t>Т</w:t>
      </w:r>
      <w:r>
        <w:rPr/>
        <w:t>ехническое задание на</w:t>
      </w:r>
      <w:r>
        <w:rPr>
          <w:lang w:val="ru-RU"/>
        </w:rPr>
        <w:t xml:space="preserve"> </w:t>
      </w:r>
      <w:r>
        <w:rPr/>
        <w:t>разработку, внедрение системы защиты объект</w:t>
      </w:r>
      <w:r>
        <w:rPr>
          <w:lang w:val="ru-RU"/>
        </w:rPr>
        <w:t>а</w:t>
      </w:r>
      <w:r>
        <w:rPr/>
        <w:t xml:space="preserve"> информатизации (</w:t>
      </w:r>
      <w:r>
        <w:rPr>
          <w:lang w:val="ru-RU"/>
        </w:rPr>
        <w:t>информационной (автоматизированной) системы</w:t>
      </w:r>
      <w:r>
        <w:rPr/>
        <w:t>)</w:t>
      </w:r>
      <w:r>
        <w:rPr>
          <w:lang w:val="ru-RU"/>
        </w:rPr>
        <w:t xml:space="preserve"> и </w:t>
      </w:r>
      <w:r>
        <w:rPr/>
        <w:t>проведение аттестации объект</w:t>
      </w:r>
      <w:r>
        <w:rPr>
          <w:lang w:val="ru-RU"/>
        </w:rPr>
        <w:t>а</w:t>
      </w:r>
      <w:r>
        <w:rPr/>
        <w:t xml:space="preserve"> информатизации </w:t>
      </w:r>
      <w:r>
        <w:rPr>
          <w:lang w:val="ru-RU"/>
        </w:rPr>
        <w:t xml:space="preserve">Администрации Пировского района Красноярского края </w:t>
      </w:r>
      <w:r>
        <w:rPr/>
        <w:t>на соответствие требованиям по безопасности информации</w:t>
      </w:r>
      <w:r>
        <w:rPr>
          <w:lang w:val="ru-RU"/>
        </w:rPr>
        <w:t>, содержащих сведения, составляющие государственную тайну</w:t>
      </w:r>
    </w:p>
    <w:p>
      <w:pPr>
        <w:pStyle w:val="Normal2"/>
        <w:ind w:start="0" w:end="0" w:hanging="0"/>
        <w:jc w:val="center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2"/>
        <w:ind w:start="0" w:end="0" w:hanging="0"/>
        <w:jc w:val="center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2"/>
        <w:ind w:start="0" w:end="0" w:hanging="0"/>
        <w:jc w:val="center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2"/>
        <w:ind w:start="0" w:end="0" w:hanging="0"/>
        <w:jc w:val="center"/>
        <w:rPr>
          <w:b/>
          <w:b/>
        </w:rPr>
      </w:pPr>
      <w:r>
        <w:rPr>
          <w:b/>
        </w:rPr>
      </w:r>
    </w:p>
    <w:p>
      <w:pPr>
        <w:pStyle w:val="Normal2"/>
        <w:ind w:start="0" w:end="0" w:hanging="0"/>
        <w:jc w:val="center"/>
        <w:rPr>
          <w:b/>
          <w:b/>
        </w:rPr>
      </w:pPr>
      <w:r>
        <w:rPr>
          <w:b/>
        </w:rPr>
      </w:r>
    </w:p>
    <w:p>
      <w:pPr>
        <w:pStyle w:val="Normal2"/>
        <w:ind w:start="0" w:end="0" w:hanging="0"/>
        <w:jc w:val="center"/>
        <w:rPr>
          <w:b/>
          <w:b/>
        </w:rPr>
      </w:pPr>
      <w:r>
        <w:rPr>
          <w:b/>
        </w:rPr>
      </w:r>
    </w:p>
    <w:p>
      <w:pPr>
        <w:pStyle w:val="Normal2"/>
        <w:ind w:start="0" w:end="0" w:hanging="0"/>
        <w:jc w:val="center"/>
        <w:rPr>
          <w:b/>
          <w:b/>
        </w:rPr>
      </w:pPr>
      <w:r>
        <w:rPr>
          <w:b/>
        </w:rPr>
      </w:r>
    </w:p>
    <w:p>
      <w:pPr>
        <w:pStyle w:val="Normal2"/>
        <w:ind w:start="0" w:end="0" w:hanging="0"/>
        <w:jc w:val="center"/>
        <w:rPr>
          <w:b/>
          <w:b/>
        </w:rPr>
      </w:pPr>
      <w:r>
        <w:rPr>
          <w:b/>
        </w:rPr>
      </w:r>
    </w:p>
    <w:p>
      <w:pPr>
        <w:pStyle w:val="Normal2"/>
        <w:ind w:start="0" w:end="0" w:hanging="0"/>
        <w:jc w:val="center"/>
        <w:rPr>
          <w:b/>
          <w:b/>
        </w:rPr>
      </w:pPr>
      <w:r>
        <w:rPr>
          <w:b/>
        </w:rPr>
      </w:r>
    </w:p>
    <w:p>
      <w:pPr>
        <w:pStyle w:val="Normal2"/>
        <w:ind w:start="0" w:end="0" w:hanging="0"/>
        <w:jc w:val="center"/>
        <w:rPr>
          <w:b/>
          <w:b/>
        </w:rPr>
      </w:pPr>
      <w:r>
        <w:rPr>
          <w:b/>
        </w:rPr>
      </w:r>
    </w:p>
    <w:p>
      <w:pPr>
        <w:pStyle w:val="Normal2"/>
        <w:ind w:start="0" w:end="0" w:hanging="0"/>
        <w:jc w:val="center"/>
        <w:rPr>
          <w:b/>
          <w:b/>
        </w:rPr>
      </w:pPr>
      <w:r>
        <w:rPr>
          <w:b/>
        </w:rPr>
      </w:r>
    </w:p>
    <w:p>
      <w:pPr>
        <w:pStyle w:val="Normal2"/>
        <w:ind w:start="0" w:end="0" w:hanging="0"/>
        <w:jc w:val="center"/>
        <w:rPr>
          <w:b/>
          <w:b/>
        </w:rPr>
      </w:pPr>
      <w:r>
        <w:rPr>
          <w:b/>
        </w:rPr>
      </w:r>
    </w:p>
    <w:p>
      <w:pPr>
        <w:pStyle w:val="Normal2"/>
        <w:ind w:start="0" w:end="0" w:hanging="0"/>
        <w:jc w:val="center"/>
        <w:rPr>
          <w:b/>
          <w:b/>
        </w:rPr>
      </w:pPr>
      <w:r>
        <w:rPr>
          <w:b/>
        </w:rPr>
      </w:r>
    </w:p>
    <w:p>
      <w:pPr>
        <w:pStyle w:val="Normal2"/>
        <w:ind w:start="0" w:end="0" w:hanging="0"/>
        <w:jc w:val="center"/>
        <w:rPr>
          <w:b/>
          <w:b/>
        </w:rPr>
      </w:pPr>
      <w:r>
        <w:rPr>
          <w:b/>
        </w:rPr>
      </w:r>
    </w:p>
    <w:p>
      <w:pPr>
        <w:pStyle w:val="Normal2"/>
        <w:ind w:start="0" w:end="0" w:hanging="0"/>
        <w:jc w:val="center"/>
        <w:rPr>
          <w:b/>
          <w:b/>
        </w:rPr>
      </w:pPr>
      <w:r>
        <w:rPr>
          <w:b/>
        </w:rPr>
      </w:r>
    </w:p>
    <w:p>
      <w:pPr>
        <w:pStyle w:val="Normal2"/>
        <w:ind w:start="0" w:end="0" w:hanging="0"/>
        <w:jc w:val="center"/>
        <w:rPr>
          <w:b/>
          <w:b/>
        </w:rPr>
      </w:pPr>
      <w:r>
        <w:rPr>
          <w:b/>
        </w:rPr>
      </w:r>
    </w:p>
    <w:p>
      <w:pPr>
        <w:pStyle w:val="Normal2"/>
        <w:ind w:start="0" w:end="0" w:hanging="0"/>
        <w:jc w:val="center"/>
        <w:rPr>
          <w:b/>
          <w:b/>
        </w:rPr>
      </w:pPr>
      <w:r>
        <w:rPr>
          <w:b/>
        </w:rPr>
      </w:r>
    </w:p>
    <w:p>
      <w:pPr>
        <w:pStyle w:val="Normal2"/>
        <w:ind w:start="0" w:end="0" w:hanging="0"/>
        <w:jc w:val="center"/>
        <w:rPr>
          <w:b/>
          <w:b/>
        </w:rPr>
      </w:pPr>
      <w:r>
        <w:rPr>
          <w:b/>
        </w:rPr>
      </w:r>
    </w:p>
    <w:p>
      <w:pPr>
        <w:pStyle w:val="Normal2"/>
        <w:ind w:start="0" w:end="0" w:hanging="0"/>
        <w:jc w:val="center"/>
        <w:rPr/>
      </w:pPr>
      <w:r>
        <w:rPr/>
        <w:t>20</w:t>
      </w:r>
      <w:r>
        <w:rPr>
          <w:lang w:val="ru-RU"/>
        </w:rPr>
        <w:t>20</w:t>
      </w:r>
      <w:r>
        <w:br w:type="page"/>
      </w:r>
    </w:p>
    <w:p>
      <w:pPr>
        <w:pStyle w:val="Normal2"/>
        <w:numPr>
          <w:ilvl w:val="0"/>
          <w:numId w:val="8"/>
        </w:numPr>
        <w:jc w:val="center"/>
        <w:rPr>
          <w:b/>
          <w:b/>
        </w:rPr>
      </w:pPr>
      <w:r>
        <w:rPr>
          <w:b/>
        </w:rPr>
        <w:t>ОБЩИЕ ПОЛОЖЕНИЯ</w:t>
      </w:r>
    </w:p>
    <w:p>
      <w:pPr>
        <w:pStyle w:val="Normal2"/>
        <w:rPr/>
      </w:pPr>
      <w:r>
        <w:rPr/>
        <w:t>При проведении аттестационных испытаний объект</w:t>
      </w:r>
      <w:r>
        <w:rPr>
          <w:lang w:val="ru-RU"/>
        </w:rPr>
        <w:t>а</w:t>
      </w:r>
      <w:r>
        <w:rPr/>
        <w:t xml:space="preserve"> информатизации аттестационная комиссия должна руководствоваться законодательством Российской Федерации, основополагающими документами Системы сертификации по требованиям безопасности информации ФСТЭК России (РОСС RU.0001.01БИ00), организационно-методическими документами данной системы, требованиями национальных стандартов, в том числе:</w:t>
      </w:r>
    </w:p>
    <w:p>
      <w:pPr>
        <w:pStyle w:val="Normal2"/>
        <w:numPr>
          <w:ilvl w:val="0"/>
          <w:numId w:val="5"/>
        </w:numPr>
        <w:rPr/>
      </w:pPr>
      <w:r>
        <w:rPr/>
        <w:t>Закон Российской Федерации от 21.07.1993 № 5485-1 «О государственной тайне»;</w:t>
      </w:r>
    </w:p>
    <w:p>
      <w:pPr>
        <w:pStyle w:val="Normal2"/>
        <w:numPr>
          <w:ilvl w:val="0"/>
          <w:numId w:val="5"/>
        </w:numPr>
        <w:rPr/>
      </w:pPr>
      <w:r>
        <w:rPr/>
        <w:t>Федеральный закон от 27 июля 2006 г. № 149-ФЗ «Об информации, информационных технологиях и о защите информации»;</w:t>
      </w:r>
    </w:p>
    <w:p>
      <w:pPr>
        <w:pStyle w:val="Normal2"/>
        <w:numPr>
          <w:ilvl w:val="0"/>
          <w:numId w:val="5"/>
        </w:numPr>
        <w:rPr/>
      </w:pPr>
      <w:r>
        <w:rPr/>
        <w:t>Постановление Правительства Российской Федерации от 15.04.1993 № 912-51.</w:t>
      </w:r>
    </w:p>
    <w:p>
      <w:pPr>
        <w:pStyle w:val="Normal2"/>
        <w:numPr>
          <w:ilvl w:val="0"/>
          <w:numId w:val="5"/>
        </w:numPr>
        <w:rPr/>
      </w:pPr>
      <w:r>
        <w:rPr/>
        <w:t>Указ Президента Российской Федерации от 17.03.2008 № 351 «О мерах по обеспечению информационной безопасности Российской Федерации при использовании информационно-телекоммуникационных сетей международного информационного обмена»</w:t>
      </w:r>
    </w:p>
    <w:p>
      <w:pPr>
        <w:pStyle w:val="Normal2"/>
        <w:numPr>
          <w:ilvl w:val="0"/>
          <w:numId w:val="5"/>
        </w:numPr>
        <w:rPr/>
      </w:pPr>
      <w:r>
        <w:rPr/>
        <w:t>Постановление Правительства Российской Федерации от 26.06.1995 № 608 «О сертификации средств защиты информации» (в ред. Постановлений Правительства РФ от 23.04.1996 № 509, от 29.03.1999 № 342, от 17.12.2004 № 808, от 21.04.2010 № 266).</w:t>
      </w:r>
    </w:p>
    <w:p>
      <w:pPr>
        <w:pStyle w:val="Normal2"/>
        <w:numPr>
          <w:ilvl w:val="0"/>
          <w:numId w:val="5"/>
        </w:numPr>
        <w:rPr/>
      </w:pPr>
      <w:r>
        <w:rPr/>
        <w:t>Положение по аттестации объектов информатизации по требованиям безопасности информации, утверждено председателем Государственной технической комиссии при Президенте Российской Федерации 25 ноября 1994 г.;</w:t>
      </w:r>
    </w:p>
    <w:p>
      <w:pPr>
        <w:pStyle w:val="Normal2"/>
        <w:numPr>
          <w:ilvl w:val="0"/>
          <w:numId w:val="5"/>
        </w:numPr>
        <w:rPr/>
      </w:pPr>
      <w:r>
        <w:rPr/>
        <w:t>Приказ ФСТЭК России от 01.12.2015 № 047;</w:t>
      </w:r>
    </w:p>
    <w:p>
      <w:pPr>
        <w:pStyle w:val="UnmarkedSpis1"/>
        <w:numPr>
          <w:ilvl w:val="0"/>
          <w:numId w:val="5"/>
        </w:numPr>
        <w:rPr/>
      </w:pPr>
      <w:r>
        <w:rPr/>
        <w:t>Приказ ФСТЭК России от 27.11.2017 № 043;</w:t>
      </w:r>
    </w:p>
    <w:p>
      <w:pPr>
        <w:pStyle w:val="UnmarkedSpis1"/>
        <w:numPr>
          <w:ilvl w:val="0"/>
          <w:numId w:val="5"/>
        </w:numPr>
        <w:rPr/>
      </w:pPr>
      <w:r>
        <w:rPr/>
        <w:t>Приказ ФСТЭК России от 20.10.2016 № 025</w:t>
      </w:r>
      <w:r>
        <w:rPr>
          <w:lang w:val="ru-RU"/>
        </w:rPr>
        <w:t>;</w:t>
      </w:r>
    </w:p>
    <w:p>
      <w:pPr>
        <w:pStyle w:val="UnmarkedSpis1"/>
        <w:numPr>
          <w:ilvl w:val="0"/>
          <w:numId w:val="5"/>
        </w:numPr>
        <w:rPr/>
      </w:pPr>
      <w:r>
        <w:rPr/>
        <w:t>Решение Межведомственной комиссии по защите государственной тайны «О типовых нормах и правилах проектирования помещений для хранения носителей сведений, составляющих государственную тайну, и работы с ними» № 199 от 21.01.2011.</w:t>
      </w:r>
    </w:p>
    <w:p>
      <w:pPr>
        <w:pStyle w:val="UnmarkedSpis1"/>
        <w:numPr>
          <w:ilvl w:val="0"/>
          <w:numId w:val="5"/>
        </w:numPr>
        <w:rPr/>
      </w:pPr>
      <w:r>
        <w:rPr/>
        <w:t>Инструкция от 05.01.2004 № 3-1;</w:t>
      </w:r>
    </w:p>
    <w:p>
      <w:pPr>
        <w:pStyle w:val="Normal2"/>
        <w:numPr>
          <w:ilvl w:val="0"/>
          <w:numId w:val="5"/>
        </w:numPr>
        <w:rPr/>
      </w:pPr>
      <w:r>
        <w:rPr/>
        <w:t>ГОСТ РО 0043-004-2013;</w:t>
      </w:r>
    </w:p>
    <w:p>
      <w:pPr>
        <w:pStyle w:val="Normal2"/>
        <w:rPr/>
      </w:pPr>
      <w:r>
        <w:rPr/>
        <w:t>и иными нормативными правовыми, методическими, техническими документами ФСТЭК России и ФСБ России в сфере защиты информации, содержащей сведения, составляющие государственную тайну.</w:t>
      </w:r>
    </w:p>
    <w:p>
      <w:pPr>
        <w:pStyle w:val="Normal2"/>
        <w:rPr/>
      </w:pPr>
      <w:r>
        <w:rPr/>
      </w:r>
    </w:p>
    <w:p>
      <w:pPr>
        <w:pStyle w:val="Zagolovok11"/>
        <w:numPr>
          <w:ilvl w:val="0"/>
          <w:numId w:val="8"/>
        </w:numPr>
        <w:rPr/>
      </w:pPr>
      <w:r>
        <w:rPr/>
        <w:t>ОБЪЕКТ</w:t>
      </w:r>
      <w:r>
        <w:rPr>
          <w:lang w:val="ru-RU"/>
        </w:rPr>
        <w:t>Ы</w:t>
      </w:r>
      <w:r>
        <w:rPr/>
        <w:t xml:space="preserve"> ИНФОРМАТИЗАЦИИ</w:t>
      </w:r>
    </w:p>
    <w:p>
      <w:pPr>
        <w:pStyle w:val="Zagolovok11"/>
        <w:numPr>
          <w:ilvl w:val="1"/>
          <w:numId w:val="8"/>
        </w:numPr>
        <w:ind w:start="0" w:end="0" w:firstLine="709"/>
        <w:jc w:val="both"/>
        <w:rPr/>
      </w:pPr>
      <w:r>
        <w:rPr>
          <w:b w:val="false"/>
        </w:rPr>
        <w:t xml:space="preserve">Для выполнения </w:t>
      </w:r>
      <w:r>
        <w:rPr>
          <w:b w:val="false"/>
          <w:lang w:val="ru-RU"/>
        </w:rPr>
        <w:t xml:space="preserve">услуг </w:t>
      </w:r>
      <w:r>
        <w:rPr>
          <w:b w:val="false"/>
        </w:rPr>
        <w:t>по разработке, созданию системы защиты и аттестации по требованиям безопасности Заказчиком заявлен следующ</w:t>
      </w:r>
      <w:r>
        <w:rPr>
          <w:b w:val="false"/>
          <w:lang w:val="ru-RU"/>
        </w:rPr>
        <w:t>ий</w:t>
      </w:r>
      <w:r>
        <w:rPr>
          <w:b w:val="false"/>
        </w:rPr>
        <w:t xml:space="preserve"> объект информатизации:</w:t>
      </w:r>
    </w:p>
    <w:p>
      <w:pPr>
        <w:pStyle w:val="Zagolovok11"/>
        <w:numPr>
          <w:ilvl w:val="0"/>
          <w:numId w:val="7"/>
        </w:numPr>
        <w:ind w:start="0" w:end="0" w:firstLine="709"/>
        <w:jc w:val="both"/>
        <w:rPr>
          <w:b w:val="false"/>
          <w:b w:val="false"/>
        </w:rPr>
      </w:pPr>
      <w:r>
        <w:rPr>
          <w:b w:val="false"/>
        </w:rPr>
        <w:t>информационная (автоматизированная) система на базе отдельных СВТ (незадействованные разъемы оснащены специальной экранирующей крышкой) – 1 объект.</w:t>
      </w:r>
    </w:p>
    <w:p>
      <w:pPr>
        <w:pStyle w:val="Zagolovok11"/>
        <w:ind w:start="0" w:end="0" w:firstLine="709"/>
        <w:jc w:val="both"/>
        <w:rPr>
          <w:b w:val="false"/>
          <w:b w:val="false"/>
        </w:rPr>
      </w:pPr>
      <w:r>
        <w:rPr>
          <w:b w:val="false"/>
        </w:rPr>
        <w:t xml:space="preserve">Объект предназначен для обработки сведений, составляющих государственную тайну. </w:t>
      </w:r>
    </w:p>
    <w:p>
      <w:pPr>
        <w:pStyle w:val="Zagolovok11"/>
        <w:ind w:start="0" w:end="0" w:firstLine="709"/>
        <w:jc w:val="both"/>
        <w:rPr/>
      </w:pPr>
      <w:r>
        <w:rPr>
          <w:b w:val="false"/>
        </w:rPr>
        <w:t xml:space="preserve">Заказчик гарантирует неизменность размещения технических средств относительно проведения предыдущих аттестационных испытаний. Помещение объекта </w:t>
      </w:r>
      <w:r>
        <w:rPr>
          <w:b w:val="false"/>
          <w:lang w:val="ru-RU"/>
        </w:rPr>
        <w:t>информатизации</w:t>
      </w:r>
      <w:r>
        <w:rPr>
          <w:b w:val="false"/>
        </w:rPr>
        <w:t xml:space="preserve"> </w:t>
      </w:r>
      <w:r>
        <w:rPr>
          <w:b w:val="false"/>
          <w:lang w:val="ru-RU"/>
        </w:rPr>
        <w:t>соответствует</w:t>
      </w:r>
      <w:r>
        <w:rPr>
          <w:b w:val="false"/>
        </w:rPr>
        <w:t xml:space="preserve"> требованиям документов, указанных в п.п 1.10 -1.11.</w:t>
      </w:r>
    </w:p>
    <w:p>
      <w:pPr>
        <w:pStyle w:val="Zagolovok11"/>
        <w:ind w:start="0" w:end="0" w:firstLine="709"/>
        <w:jc w:val="both"/>
        <w:rPr/>
      </w:pPr>
      <w:r>
        <w:rPr>
          <w:b w:val="false"/>
        </w:rPr>
        <w:t xml:space="preserve">Технические средства, входящие в состав ОВТ, </w:t>
      </w:r>
      <w:r>
        <w:rPr>
          <w:b w:val="false"/>
          <w:lang w:val="ru-RU"/>
        </w:rPr>
        <w:t xml:space="preserve">не имеют подключения </w:t>
      </w:r>
      <w:r>
        <w:rPr>
          <w:b w:val="false"/>
        </w:rPr>
        <w:t>к сети Интернет либо иным сетям общего пользования.</w:t>
      </w:r>
    </w:p>
    <w:p>
      <w:pPr>
        <w:pStyle w:val="Zagolovok11"/>
        <w:ind w:start="0" w:end="0" w:firstLine="709"/>
        <w:jc w:val="both"/>
        <w:rPr/>
      </w:pPr>
      <w:r>
        <w:rPr>
          <w:b w:val="false"/>
        </w:rPr>
        <w:t xml:space="preserve">Вспомогательные технические средства и системы, установленные в кабинете объекта информатизации </w:t>
      </w:r>
      <w:r>
        <w:rPr>
          <w:b w:val="false"/>
          <w:lang w:val="ru-RU"/>
        </w:rPr>
        <w:t>не имеют</w:t>
      </w:r>
      <w:r>
        <w:rPr>
          <w:b w:val="false"/>
        </w:rPr>
        <w:t xml:space="preserve"> подключени</w:t>
      </w:r>
      <w:r>
        <w:rPr>
          <w:b w:val="false"/>
          <w:lang w:val="ru-RU"/>
        </w:rPr>
        <w:t xml:space="preserve">я </w:t>
      </w:r>
      <w:r>
        <w:rPr>
          <w:b w:val="false"/>
        </w:rPr>
        <w:t>к сети Интернет либо иным сетям общего пользования.</w:t>
      </w:r>
    </w:p>
    <w:p>
      <w:pPr>
        <w:pStyle w:val="Zagolovok11"/>
        <w:numPr>
          <w:ilvl w:val="1"/>
          <w:numId w:val="8"/>
        </w:numPr>
        <w:ind w:start="0" w:end="0" w:firstLine="709"/>
        <w:jc w:val="both"/>
        <w:rPr/>
      </w:pPr>
      <w:r>
        <w:rPr>
          <w:b w:val="false"/>
        </w:rPr>
        <w:t>Объект информатизации находится по адресу:</w:t>
      </w:r>
      <w:r>
        <w:rPr/>
        <w:t xml:space="preserve"> </w:t>
      </w:r>
      <w:r>
        <w:rPr>
          <w:b w:val="false"/>
        </w:rPr>
        <w:t>663120, Красноярский край, Пировский район, с. Пировское, ул. Ленина, д. 27.</w:t>
      </w:r>
    </w:p>
    <w:p>
      <w:pPr>
        <w:pStyle w:val="Zagolovok11"/>
        <w:numPr>
          <w:ilvl w:val="1"/>
          <w:numId w:val="8"/>
        </w:numPr>
        <w:ind w:start="0" w:end="0" w:firstLine="709"/>
        <w:jc w:val="both"/>
        <w:rPr>
          <w:b w:val="false"/>
          <w:b w:val="false"/>
        </w:rPr>
      </w:pPr>
      <w:r>
        <w:rPr>
          <w:b w:val="false"/>
        </w:rPr>
        <w:t>Максимальный гриф информации, обрабатываемой на ОИ: в соответствии с имеющимся перечнем сведений, подлежащих засекречиванию.</w:t>
      </w:r>
    </w:p>
    <w:p>
      <w:pPr>
        <w:pStyle w:val="Zagolovok11"/>
        <w:ind w:start="792" w:end="0" w:hanging="0"/>
        <w:rPr>
          <w:b w:val="false"/>
          <w:b w:val="false"/>
        </w:rPr>
      </w:pPr>
      <w:r>
        <w:rPr>
          <w:b w:val="false"/>
        </w:rPr>
      </w:r>
    </w:p>
    <w:p>
      <w:pPr>
        <w:pStyle w:val="Normal2"/>
        <w:numPr>
          <w:ilvl w:val="0"/>
          <w:numId w:val="4"/>
        </w:numPr>
        <w:ind w:start="0" w:end="0" w:hanging="0"/>
        <w:jc w:val="center"/>
        <w:rPr/>
      </w:pPr>
      <w:r>
        <w:rPr>
          <w:b/>
        </w:rPr>
        <w:t>ЦЕЛЬ И МЕРОПРИЯТИЯ</w:t>
      </w:r>
      <w:r>
        <w:rPr>
          <w:b/>
          <w:lang w:val="ru-RU"/>
        </w:rPr>
        <w:t xml:space="preserve"> ПРИ ИСПЫТАНИЯХ ИНФОРМАЦИОННОЙ (АВТОМАТИЗИРОВАННОЙ) СИСТЕМЫ</w:t>
      </w:r>
    </w:p>
    <w:p>
      <w:pPr>
        <w:pStyle w:val="Normal2"/>
        <w:numPr>
          <w:ilvl w:val="1"/>
          <w:numId w:val="4"/>
        </w:numPr>
        <w:ind w:start="0" w:end="0" w:firstLine="709"/>
        <w:rPr/>
      </w:pPr>
      <w:r>
        <w:rPr/>
        <w:t>Целью разработки и внедрения системы защиты объекта информатизации является создание условий эксплуатации, при которых:</w:t>
      </w:r>
    </w:p>
    <w:p>
      <w:pPr>
        <w:pStyle w:val="Normal2"/>
        <w:numPr>
          <w:ilvl w:val="0"/>
          <w:numId w:val="9"/>
        </w:numPr>
        <w:ind w:start="0" w:end="0" w:firstLine="709"/>
        <w:rPr/>
      </w:pPr>
      <w:r>
        <w:rPr/>
        <w:t xml:space="preserve">обеспечивается выполнение норм по защите информации, составляющей государственную тайну от её утечки по техническим каналам; </w:t>
      </w:r>
    </w:p>
    <w:p>
      <w:pPr>
        <w:pStyle w:val="Normal2"/>
        <w:numPr>
          <w:ilvl w:val="0"/>
          <w:numId w:val="9"/>
        </w:numPr>
        <w:ind w:start="0" w:end="0" w:firstLine="709"/>
        <w:rPr/>
      </w:pPr>
      <w:r>
        <w:rPr/>
        <w:t>исключена возможность получения средствами технической разведки (при условии их размещения на границе контролируемой зоны объекта информатизации) информации, обрабатываемой техническими средствами и системами;</w:t>
      </w:r>
    </w:p>
    <w:p>
      <w:pPr>
        <w:pStyle w:val="Normal2"/>
        <w:numPr>
          <w:ilvl w:val="0"/>
          <w:numId w:val="9"/>
        </w:numPr>
        <w:ind w:start="0" w:end="0" w:firstLine="709"/>
        <w:rPr/>
      </w:pPr>
      <w:r>
        <w:rPr/>
        <w:t xml:space="preserve">исключены неправомерный доступ к информации (в том числе за счет просмотра), уничтожение, модифицирование, блокирование, копирование, предоставление, распространение информации лицами, не имеющими права доступа к этой информации. </w:t>
      </w:r>
    </w:p>
    <w:p>
      <w:pPr>
        <w:pStyle w:val="Normal2"/>
        <w:numPr>
          <w:ilvl w:val="1"/>
          <w:numId w:val="4"/>
        </w:numPr>
        <w:ind w:start="0" w:end="0" w:firstLine="709"/>
        <w:rPr/>
      </w:pPr>
      <w:r>
        <w:rPr/>
        <w:t>Целью испытаний объекта информатизации является подтверждение Исполнителем его соответствия требованиям нормативных и руководящих документов по технической защите информации в соответствии с установленной категорией в реальных условиях эксплуатации.</w:t>
      </w:r>
    </w:p>
    <w:p>
      <w:pPr>
        <w:pStyle w:val="Normal2"/>
        <w:numPr>
          <w:ilvl w:val="1"/>
          <w:numId w:val="4"/>
        </w:numPr>
        <w:ind w:start="0" w:end="0" w:firstLine="709"/>
        <w:rPr/>
      </w:pPr>
      <w:r>
        <w:rPr/>
        <w:t>Мероприятия, которые должен провести Исполнитель:</w:t>
      </w:r>
    </w:p>
    <w:p>
      <w:pPr>
        <w:pStyle w:val="Normal2"/>
        <w:numPr>
          <w:ilvl w:val="2"/>
          <w:numId w:val="4"/>
        </w:numPr>
        <w:ind w:start="709" w:end="0" w:firstLine="567"/>
        <w:rPr>
          <w:lang w:val="ru-RU"/>
        </w:rPr>
      </w:pPr>
      <w:r>
        <w:rPr>
          <w:lang w:val="ru-RU"/>
        </w:rPr>
        <w:t>Поставку технических средств, в соответствии с таблицей 1.</w:t>
      </w:r>
    </w:p>
    <w:p>
      <w:pPr>
        <w:pStyle w:val="Normal2"/>
        <w:ind w:start="1276" w:end="0" w:hanging="0"/>
        <w:rPr/>
      </w:pPr>
      <w:r>
        <w:rPr/>
        <w:t>Таблица 1. Перечень технических средств, предоставляемых Исполнителем</w:t>
      </w:r>
    </w:p>
    <w:tbl>
      <w:tblPr>
        <w:tblW w:w="5000" w:type="pct"/>
        <w:jc w:val="start"/>
        <w:tblInd w:w="-123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935"/>
        <w:gridCol w:w="7335"/>
        <w:gridCol w:w="1935"/>
      </w:tblGrid>
      <w:tr>
        <w:trPr/>
        <w:tc>
          <w:tcPr>
            <w:tcW w:w="9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2"/>
              <w:ind w:start="0" w:end="0" w:hanging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п/п</w:t>
            </w:r>
          </w:p>
        </w:tc>
        <w:tc>
          <w:tcPr>
            <w:tcW w:w="73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2"/>
              <w:ind w:start="0" w:end="0" w:hanging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Наименование ТС</w:t>
            </w:r>
          </w:p>
        </w:tc>
        <w:tc>
          <w:tcPr>
            <w:tcW w:w="19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2"/>
              <w:ind w:start="0" w:end="0" w:hanging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Количество, шт.</w:t>
            </w:r>
          </w:p>
        </w:tc>
      </w:tr>
      <w:tr>
        <w:trPr/>
        <w:tc>
          <w:tcPr>
            <w:tcW w:w="9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2"/>
              <w:ind w:start="0" w:end="0" w:hanging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73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2"/>
              <w:ind w:start="0" w:end="0" w:hanging="0"/>
              <w:rPr>
                <w:b/>
                <w:b/>
                <w:i/>
                <w:i/>
                <w:sz w:val="20"/>
                <w:szCs w:val="20"/>
                <w:lang w:val="ru-RU"/>
              </w:rPr>
            </w:pPr>
            <w:r>
              <w:rPr>
                <w:b/>
                <w:i/>
                <w:sz w:val="20"/>
                <w:szCs w:val="20"/>
                <w:lang w:val="ru-RU"/>
              </w:rPr>
              <w:t xml:space="preserve">Жесткий диск </w:t>
            </w:r>
          </w:p>
          <w:p>
            <w:pPr>
              <w:pStyle w:val="Normal2"/>
              <w:ind w:start="0" w:end="0" w:hanging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Объем: не менее 0.5 Тб</w:t>
            </w:r>
          </w:p>
          <w:p>
            <w:pPr>
              <w:pStyle w:val="Normal2"/>
              <w:ind w:start="0" w:end="0" w:hanging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Объем кэш-памяти: не менее 32 Мб</w:t>
            </w:r>
          </w:p>
          <w:p>
            <w:pPr>
              <w:pStyle w:val="Normal2"/>
              <w:ind w:start="0" w:end="0" w:hanging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Скорость вращения шпинделя: не менее 7200 об/мин</w:t>
            </w:r>
          </w:p>
          <w:p>
            <w:pPr>
              <w:pStyle w:val="Normal2"/>
              <w:ind w:start="0" w:end="0" w:hanging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Максимальная скорость передачи данных: не менее 150 Мбайт/с</w:t>
            </w:r>
          </w:p>
          <w:p>
            <w:pPr>
              <w:pStyle w:val="Normal2"/>
              <w:ind w:start="0" w:end="0" w:hanging="0"/>
              <w:rPr/>
            </w:pPr>
            <w:r>
              <w:rPr>
                <w:sz w:val="20"/>
                <w:szCs w:val="20"/>
                <w:lang w:val="ru-RU"/>
              </w:rPr>
              <w:t xml:space="preserve">Интерфейс: </w:t>
            </w:r>
            <w:r>
              <w:rPr>
                <w:sz w:val="20"/>
                <w:szCs w:val="20"/>
                <w:lang w:val="en-US"/>
              </w:rPr>
              <w:t>SATA III</w:t>
            </w:r>
          </w:p>
        </w:tc>
        <w:tc>
          <w:tcPr>
            <w:tcW w:w="19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2"/>
              <w:ind w:start="0" w:end="0" w:hanging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</w:tr>
    </w:tbl>
    <w:p>
      <w:pPr>
        <w:pStyle w:val="Normal2"/>
        <w:ind w:start="1276" w:end="0" w:hanging="0"/>
        <w:rPr>
          <w:lang w:val="ru-RU"/>
        </w:rPr>
      </w:pPr>
      <w:r>
        <w:rPr>
          <w:lang w:val="ru-RU"/>
        </w:rPr>
      </w:r>
    </w:p>
    <w:p>
      <w:pPr>
        <w:pStyle w:val="Normal2"/>
        <w:numPr>
          <w:ilvl w:val="2"/>
          <w:numId w:val="4"/>
        </w:numPr>
        <w:ind w:start="709" w:end="0" w:firstLine="567"/>
        <w:rPr>
          <w:lang w:val="ru-RU"/>
        </w:rPr>
      </w:pPr>
      <w:r>
        <w:rPr>
          <w:lang w:val="ru-RU"/>
        </w:rPr>
        <w:t>Проведение специальной проверки технических средств иностранного и/или совместного производства (таблица 1).</w:t>
      </w:r>
    </w:p>
    <w:p>
      <w:pPr>
        <w:pStyle w:val="Normal2"/>
        <w:numPr>
          <w:ilvl w:val="2"/>
          <w:numId w:val="4"/>
        </w:numPr>
        <w:ind w:start="709" w:end="0" w:firstLine="567"/>
        <w:rPr/>
      </w:pPr>
      <w:r>
        <w:rPr>
          <w:lang w:val="ru-RU"/>
        </w:rPr>
        <w:t xml:space="preserve">Проведение специального исследования технических средств </w:t>
        <w:br/>
        <w:t>(таблица 1 и 2).</w:t>
      </w:r>
      <w:r>
        <w:rPr>
          <w:rStyle w:val="FootnoteCharacters"/>
          <w:lang w:val="ru-RU"/>
        </w:rPr>
        <w:t xml:space="preserve"> </w:t>
      </w:r>
      <w:r>
        <w:rPr>
          <w:rStyle w:val="FootnoteCharacters"/>
          <w:rStyle w:val="FootnoteAnchor"/>
          <w:lang w:val="ru-RU"/>
        </w:rPr>
        <w:footnoteReference w:id="2"/>
      </w:r>
      <w:r>
        <w:br w:type="page"/>
      </w:r>
    </w:p>
    <w:p>
      <w:pPr>
        <w:pStyle w:val="Zagolovok11"/>
        <w:numPr>
          <w:ilvl w:val="3"/>
          <w:numId w:val="4"/>
        </w:numPr>
        <w:ind w:start="1276" w:end="0" w:firstLine="567"/>
        <w:jc w:val="both"/>
        <w:rPr/>
      </w:pPr>
      <w:r>
        <w:rPr/>
      </w:r>
    </w:p>
    <w:p>
      <w:pPr>
        <w:pStyle w:val="Zagolovok11"/>
        <w:numPr>
          <w:ilvl w:val="0"/>
          <w:numId w:val="4"/>
        </w:numPr>
        <w:ind w:start="0" w:end="0" w:hanging="0"/>
        <w:rPr/>
      </w:pPr>
      <w:r>
        <w:rPr/>
        <w:t>ПРИМЕНЯЕМЫЕ МЕТОДЫ ПРОВЕРОК И ИСПЫТАНИЙ</w:t>
      </w:r>
    </w:p>
    <w:p>
      <w:pPr>
        <w:pStyle w:val="Normal2"/>
        <w:numPr>
          <w:ilvl w:val="1"/>
          <w:numId w:val="4"/>
        </w:numPr>
        <w:ind w:start="0" w:end="0" w:firstLine="709"/>
        <w:rPr/>
      </w:pPr>
      <w:r>
        <w:rPr/>
        <w:t>При проведении аттестации информационной (автоматизированной) системы  Исполнитель должен руководствоваться следующими методами проверок и испытаний:</w:t>
      </w:r>
    </w:p>
    <w:p>
      <w:pPr>
        <w:pStyle w:val="UnmarkedSpis1"/>
        <w:numPr>
          <w:ilvl w:val="0"/>
          <w:numId w:val="3"/>
        </w:numPr>
        <w:ind w:start="1060" w:end="0" w:hanging="360"/>
        <w:rPr/>
      </w:pPr>
      <w:r>
        <w:rPr/>
        <w:t>экспертно-документальный метод (ЭДМ);</w:t>
      </w:r>
    </w:p>
    <w:p>
      <w:pPr>
        <w:pStyle w:val="UnmarkedSpis1"/>
        <w:numPr>
          <w:ilvl w:val="0"/>
          <w:numId w:val="3"/>
        </w:numPr>
        <w:ind w:start="1060" w:end="0" w:hanging="360"/>
        <w:rPr/>
      </w:pPr>
      <w:r>
        <w:rPr/>
        <w:t>измерение и оценка уровней защищенности отдельных технических средств и каналов утечки информации;</w:t>
      </w:r>
    </w:p>
    <w:p>
      <w:pPr>
        <w:pStyle w:val="UnmarkedSpis1"/>
        <w:numPr>
          <w:ilvl w:val="0"/>
          <w:numId w:val="3"/>
        </w:numPr>
        <w:ind w:start="1060" w:end="0" w:hanging="360"/>
        <w:rPr/>
      </w:pPr>
      <w:r>
        <w:rPr/>
        <w:t>проверка комплекса функций защиты информации от НСД к ней с помощью тестирующих средств, а также путем пробного запуска средств защиты информации от НСД  к ней и наблюдения за их выполнением (инструментальный метод);</w:t>
      </w:r>
    </w:p>
    <w:p>
      <w:pPr>
        <w:pStyle w:val="UnmarkedSpis1"/>
        <w:numPr>
          <w:ilvl w:val="0"/>
          <w:numId w:val="3"/>
        </w:numPr>
        <w:ind w:start="1060" w:end="0" w:hanging="360"/>
        <w:rPr/>
      </w:pPr>
      <w:r>
        <w:rPr/>
        <w:t>попытки «взлома» систем защиты информации от НСД к ней (попытки НСД).</w:t>
      </w:r>
    </w:p>
    <w:p>
      <w:pPr>
        <w:pStyle w:val="UnmarkedSpis1"/>
        <w:numPr>
          <w:ilvl w:val="0"/>
          <w:numId w:val="0"/>
        </w:numPr>
        <w:ind w:start="1060" w:end="0" w:hanging="0"/>
        <w:rPr>
          <w:bCs/>
          <w:spacing w:val="2"/>
          <w:sz w:val="26"/>
          <w:szCs w:val="26"/>
        </w:rPr>
      </w:pPr>
      <w:r>
        <w:rPr>
          <w:bCs/>
          <w:spacing w:val="2"/>
          <w:sz w:val="26"/>
          <w:szCs w:val="26"/>
        </w:rPr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pacing w:lineRule="auto" w:line="288"/>
        <w:ind w:start="0" w:end="0" w:hanging="0"/>
        <w:jc w:val="center"/>
        <w:rPr>
          <w:b/>
          <w:b/>
          <w:lang w:val="ru-RU"/>
        </w:rPr>
      </w:pPr>
      <w:r>
        <w:rPr>
          <w:b/>
          <w:lang w:val="ru-RU"/>
        </w:rPr>
        <w:t>СРОКИ (ПЕРИОДЫ) ОКАЗАНИЯ УСЛУГ</w:t>
      </w:r>
    </w:p>
    <w:p>
      <w:pPr>
        <w:pStyle w:val="Normal"/>
        <w:tabs>
          <w:tab w:val="left" w:pos="1560" w:leader="none"/>
        </w:tabs>
        <w:spacing w:lineRule="auto" w:line="288"/>
        <w:ind w:start="0" w:end="0" w:firstLine="709"/>
        <w:jc w:val="both"/>
        <w:rPr>
          <w:szCs w:val="24"/>
        </w:rPr>
      </w:pPr>
      <w:r>
        <w:rPr>
          <w:szCs w:val="24"/>
        </w:rPr>
        <w:t>Оказание услуги осуществляется Исполнителем в течение 95 дней с момента предоставления уведомления о готовности объекта информатизации (Приложение 3).</w:t>
      </w:r>
    </w:p>
    <w:p>
      <w:pPr>
        <w:pStyle w:val="Normal"/>
        <w:tabs>
          <w:tab w:val="left" w:pos="1560" w:leader="none"/>
        </w:tabs>
        <w:spacing w:lineRule="auto" w:line="288"/>
        <w:ind w:start="0" w:end="0" w:firstLine="709"/>
        <w:jc w:val="both"/>
        <w:rPr/>
      </w:pPr>
      <w:r>
        <w:rPr/>
      </w:r>
    </w:p>
    <w:tbl>
      <w:tblPr>
        <w:tblW w:w="10421" w:type="dxa"/>
        <w:jc w:val="center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10"/>
        <w:gridCol w:w="5211"/>
      </w:tblGrid>
      <w:tr>
        <w:trPr/>
        <w:tc>
          <w:tcPr>
            <w:tcW w:w="5210" w:type="dxa"/>
            <w:tcBorders/>
            <w:shd w:fill="auto" w:val="clear"/>
          </w:tcPr>
          <w:p>
            <w:pPr>
              <w:pStyle w:val="Normal2"/>
              <w:ind w:start="0" w:end="0" w:hanging="0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СОГЛАСОВАНО</w:t>
            </w:r>
          </w:p>
          <w:p>
            <w:pPr>
              <w:pStyle w:val="Normal2"/>
              <w:ind w:start="0" w:end="0" w:hanging="0"/>
              <w:jc w:val="start"/>
              <w:rPr>
                <w:lang w:val="ru-RU"/>
              </w:rPr>
            </w:pPr>
            <w:r>
              <w:rPr>
                <w:lang w:val="ru-RU"/>
              </w:rPr>
              <w:t>Сотрудник Исполнителя</w:t>
            </w:r>
          </w:p>
          <w:p>
            <w:pPr>
              <w:pStyle w:val="Normal2"/>
              <w:ind w:start="0" w:end="0" w:hanging="0"/>
              <w:jc w:val="star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2"/>
              <w:ind w:start="0" w:end="0" w:hanging="0"/>
              <w:rPr>
                <w:lang w:val="ru-RU"/>
              </w:rPr>
            </w:pPr>
            <w:r>
              <w:rPr>
                <w:lang w:val="ru-RU"/>
              </w:rPr>
              <w:t>__________________/</w:t>
            </w:r>
          </w:p>
          <w:p>
            <w:pPr>
              <w:pStyle w:val="Normal2"/>
              <w:ind w:start="0" w:end="0" w:hanging="0"/>
              <w:rPr>
                <w:lang w:val="ru-RU"/>
              </w:rPr>
            </w:pPr>
            <w:r>
              <w:rPr>
                <w:lang w:val="ru-RU"/>
              </w:rPr>
              <w:t>«____» ___________ 20___г.</w:t>
            </w:r>
          </w:p>
        </w:tc>
        <w:tc>
          <w:tcPr>
            <w:tcW w:w="5211" w:type="dxa"/>
            <w:tcBorders/>
            <w:shd w:fill="auto" w:val="clear"/>
          </w:tcPr>
          <w:p>
            <w:pPr>
              <w:pStyle w:val="Normal2"/>
              <w:ind w:start="1169" w:end="0" w:hanging="0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РАЗРАБОТАЛ</w:t>
            </w:r>
          </w:p>
          <w:p>
            <w:pPr>
              <w:pStyle w:val="Normal2"/>
              <w:ind w:start="1169" w:end="0" w:hanging="0"/>
              <w:rPr>
                <w:lang w:val="ru-RU"/>
              </w:rPr>
            </w:pPr>
            <w:r>
              <w:rPr>
                <w:lang w:val="ru-RU"/>
              </w:rPr>
              <w:t>Сотрудник Заказчика</w:t>
            </w:r>
          </w:p>
          <w:p>
            <w:pPr>
              <w:pStyle w:val="Normal2"/>
              <w:ind w:start="1169" w:end="0" w:hanging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2"/>
              <w:ind w:start="1169" w:end="0" w:hanging="0"/>
              <w:rPr>
                <w:lang w:val="ru-RU"/>
              </w:rPr>
            </w:pPr>
            <w:r>
              <w:rPr>
                <w:lang w:val="ru-RU"/>
              </w:rPr>
              <w:t>__________________/</w:t>
            </w:r>
          </w:p>
          <w:p>
            <w:pPr>
              <w:pStyle w:val="Normal2"/>
              <w:ind w:start="1169" w:end="0" w:hanging="0"/>
              <w:rPr>
                <w:lang w:val="ru-RU"/>
              </w:rPr>
            </w:pPr>
            <w:r>
              <w:rPr>
                <w:lang w:val="ru-RU"/>
              </w:rPr>
              <w:t>«____» ___________ 20___г.</w:t>
            </w:r>
          </w:p>
        </w:tc>
      </w:tr>
    </w:tbl>
    <w:p>
      <w:pPr>
        <w:pStyle w:val="Normal"/>
        <w:tabs>
          <w:tab w:val="left" w:pos="1560" w:leader="none"/>
        </w:tabs>
        <w:spacing w:lineRule="auto" w:line="288"/>
        <w:ind w:start="0" w:end="0" w:hanging="0"/>
        <w:jc w:val="both"/>
        <w:rPr/>
      </w:pPr>
      <w:r>
        <w:rPr/>
      </w:r>
    </w:p>
    <w:sectPr>
      <w:headerReference w:type="default" r:id="rId2"/>
      <w:headerReference w:type="first" r:id="rId3"/>
      <w:footnotePr>
        <w:numFmt w:val="decimal"/>
      </w:footnotePr>
      <w:type w:val="nextPage"/>
      <w:pgSz w:w="11906" w:h="16838"/>
      <w:pgMar w:left="1134" w:right="567" w:header="709" w:top="1134" w:footer="0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Wingdings">
    <w:charset w:val="02"/>
    <w:family w:val="auto"/>
    <w:pitch w:val="variable"/>
  </w:font>
  <w:font w:name="Courier New">
    <w:charset w:val="cc" w:characterSet="windows-1251"/>
    <w:family w:val="modern"/>
    <w:pitch w:val="default"/>
  </w:font>
  <w:font w:name="Tahoma">
    <w:charset w:val="cc" w:characterSet="windows-1251"/>
    <w:family w:val="swiss"/>
    <w:pitch w:val="variable"/>
  </w:font>
  <w:font w:name="Calibri Light">
    <w:charset w:val="cc" w:characterSet="windows-125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jc w:val="both"/>
        <w:rPr/>
      </w:pPr>
      <w:r>
        <w:rPr>
          <w:rStyle w:val="FootnoteCharacters"/>
        </w:rPr>
        <w:footnoteRef/>
      </w:r>
      <w:r>
        <w:rPr>
          <w:rFonts w:eastAsia="Times New Roman"/>
        </w:rPr>
        <w:tab/>
        <w:t xml:space="preserve"> </w:t>
      </w:r>
      <w:r>
        <w:rPr/>
        <w:t>Передача технических средств Исполнителю осуществляется Заказчиком за счет собственных сил и средств не позднее, чем пять дней с момента заключения договора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ind w:start="720" w:hanging="360"/>
      </w:pPr>
      <w:rPr/>
    </w:lvl>
  </w:abstractNum>
  <w:abstractNum w:abstractNumId="3">
    <w:lvl w:ilvl="0">
      <w:start w:val="1"/>
      <w:numFmt w:val="bullet"/>
      <w:lvlText w:val="-"/>
      <w:lvlJc w:val="start"/>
      <w:pPr>
        <w:ind w:star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3"/>
      <w:numFmt w:val="decimal"/>
      <w:lvlText w:val="%1."/>
      <w:lvlJc w:val="start"/>
      <w:pPr>
        <w:ind w:start="1637" w:hanging="360"/>
      </w:pPr>
      <w:rPr>
        <w:b w:val="false"/>
        <w:lang w:val="ru-RU"/>
      </w:rPr>
    </w:lvl>
    <w:lvl w:ilvl="1">
      <w:start w:val="1"/>
      <w:numFmt w:val="decimal"/>
      <w:lvlText w:val="%1.%2."/>
      <w:lvlJc w:val="start"/>
      <w:pPr>
        <w:ind w:start="3536" w:hanging="360"/>
      </w:pPr>
      <w:rPr>
        <w:sz w:val="24"/>
        <w:szCs w:val="24"/>
      </w:rPr>
    </w:lvl>
    <w:lvl w:ilvl="2">
      <w:start w:val="1"/>
      <w:numFmt w:val="decimal"/>
      <w:lvlText w:val="%1.%2.%3."/>
      <w:lvlJc w:val="start"/>
      <w:pPr>
        <w:ind w:start="4406" w:hanging="720"/>
      </w:pPr>
      <w:rPr>
        <w:b w:val="false"/>
        <w:lang w:val="ru-RU"/>
      </w:rPr>
    </w:lvl>
    <w:lvl w:ilvl="3">
      <w:start w:val="1"/>
      <w:numFmt w:val="decimal"/>
      <w:lvlText w:val="%1.%2.%3.%4."/>
      <w:lvlJc w:val="start"/>
      <w:pPr>
        <w:ind w:start="5296" w:hanging="720"/>
      </w:pPr>
      <w:rPr>
        <w:b w:val="false"/>
        <w:lang w:val="ru-RU"/>
      </w:rPr>
    </w:lvl>
    <w:lvl w:ilvl="4">
      <w:start w:val="1"/>
      <w:numFmt w:val="decimal"/>
      <w:lvlText w:val="%1.%2.%3.%4.%5."/>
      <w:lvlJc w:val="start"/>
      <w:pPr>
        <w:ind w:start="6356" w:hanging="1080"/>
      </w:pPr>
      <w:rPr>
        <w:b w:val="false"/>
        <w:lang w:val="ru-RU"/>
      </w:rPr>
    </w:lvl>
    <w:lvl w:ilvl="5">
      <w:start w:val="1"/>
      <w:numFmt w:val="decimal"/>
      <w:lvlText w:val="%1.%2.%3.%4.%5.%6."/>
      <w:lvlJc w:val="start"/>
      <w:pPr>
        <w:ind w:start="7056" w:hanging="1080"/>
      </w:pPr>
      <w:rPr>
        <w:b w:val="false"/>
        <w:lang w:val="ru-RU"/>
      </w:rPr>
    </w:lvl>
    <w:lvl w:ilvl="6">
      <w:start w:val="1"/>
      <w:numFmt w:val="decimal"/>
      <w:lvlText w:val="%1.%2.%3.%4.%5.%6.%7."/>
      <w:lvlJc w:val="start"/>
      <w:pPr>
        <w:ind w:start="8116" w:hanging="1440"/>
      </w:pPr>
      <w:rPr>
        <w:b w:val="false"/>
        <w:lang w:val="ru-RU"/>
      </w:rPr>
    </w:lvl>
    <w:lvl w:ilvl="7">
      <w:start w:val="1"/>
      <w:numFmt w:val="decimal"/>
      <w:lvlText w:val="%1.%2.%3.%4.%5.%6.%7.%8."/>
      <w:lvlJc w:val="start"/>
      <w:pPr>
        <w:ind w:start="8816" w:hanging="1440"/>
      </w:pPr>
      <w:rPr>
        <w:b w:val="false"/>
        <w:lang w:val="ru-RU"/>
      </w:rPr>
    </w:lvl>
    <w:lvl w:ilvl="8">
      <w:start w:val="1"/>
      <w:numFmt w:val="decimal"/>
      <w:lvlText w:val="%1.%2.%3.%4.%5.%6.%7.%8.%9."/>
      <w:lvlJc w:val="start"/>
      <w:pPr>
        <w:ind w:start="9876" w:hanging="1800"/>
      </w:pPr>
      <w:rPr>
        <w:b w:val="false"/>
        <w:lang w:val="ru-RU"/>
      </w:rPr>
    </w:lvl>
  </w:abstractNum>
  <w:abstractNum w:abstractNumId="5">
    <w:lvl w:ilvl="0">
      <w:start w:val="1"/>
      <w:numFmt w:val="decimal"/>
      <w:lvlText w:val="%1."/>
      <w:lvlJc w:val="start"/>
      <w:pPr>
        <w:ind w:start="1060" w:hanging="360"/>
      </w:pPr>
      <w:rPr>
        <w:lang w:val="ru-RU"/>
      </w:rPr>
    </w:lvl>
  </w:abstractNum>
  <w:abstractNum w:abstractNumId="6">
    <w:lvl w:ilvl="0">
      <w:start w:val="1"/>
      <w:numFmt w:val="bullet"/>
      <w:lvlText w:val="-"/>
      <w:lvlJc w:val="start"/>
      <w:pPr>
        <w:ind w:start="72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"/>
      <w:lvlJc w:val="start"/>
      <w:pPr>
        <w:ind w:start="1429" w:hanging="360"/>
      </w:pPr>
      <w:rPr>
        <w:rFonts w:ascii="Symbol" w:hAnsi="Symbol" w:cs="Symbol" w:hint="default"/>
        <w:rFonts w:cs="Symbol"/>
      </w:rPr>
    </w:lvl>
  </w:abstractNum>
  <w:abstractNum w:abstractNumId="8">
    <w:lvl w:ilvl="0">
      <w:start w:val="1"/>
      <w:numFmt w:val="decimal"/>
      <w:lvlText w:val="%1."/>
      <w:lvlJc w:val="start"/>
      <w:pPr>
        <w:ind w:start="360" w:hanging="360"/>
      </w:pPr>
      <w:rPr/>
    </w:lvl>
    <w:lvl w:ilvl="1">
      <w:start w:val="1"/>
      <w:numFmt w:val="decimal"/>
      <w:lvlText w:val="%1.%2."/>
      <w:lvlJc w:val="start"/>
      <w:pPr>
        <w:ind w:start="792" w:hanging="432"/>
      </w:pPr>
      <w:rPr>
        <w:b w:val="false"/>
      </w:rPr>
    </w:lvl>
    <w:lvl w:ilvl="2">
      <w:start w:val="1"/>
      <w:numFmt w:val="decimal"/>
      <w:lvlText w:val="%1.%2.%3."/>
      <w:lvlJc w:val="start"/>
      <w:pPr>
        <w:ind w:start="1224" w:hanging="504"/>
      </w:pPr>
      <w:rPr/>
    </w:lvl>
    <w:lvl w:ilvl="3">
      <w:start w:val="1"/>
      <w:numFmt w:val="decimal"/>
      <w:lvlText w:val="%1.%2.%3.%4."/>
      <w:lvlJc w:val="start"/>
      <w:pPr>
        <w:ind w:start="1728" w:hanging="648"/>
      </w:pPr>
      <w:rPr/>
    </w:lvl>
    <w:lvl w:ilvl="4">
      <w:start w:val="1"/>
      <w:numFmt w:val="decimal"/>
      <w:lvlText w:val="%1.%2.%3.%4.%5."/>
      <w:lvlJc w:val="start"/>
      <w:pPr>
        <w:ind w:start="2232" w:hanging="792"/>
      </w:pPr>
      <w:rPr/>
    </w:lvl>
    <w:lvl w:ilvl="5">
      <w:start w:val="1"/>
      <w:numFmt w:val="decimal"/>
      <w:lvlText w:val="%1.%2.%3.%4.%5.%6."/>
      <w:lvlJc w:val="start"/>
      <w:pPr>
        <w:ind w:start="2736" w:hanging="936"/>
      </w:pPr>
      <w:rPr/>
    </w:lvl>
    <w:lvl w:ilvl="6">
      <w:start w:val="1"/>
      <w:numFmt w:val="decimal"/>
      <w:lvlText w:val="%1.%2.%3.%4.%5.%6.%7."/>
      <w:lvlJc w:val="start"/>
      <w:pPr>
        <w:ind w:start="3240" w:hanging="1080"/>
      </w:pPr>
      <w:rPr/>
    </w:lvl>
    <w:lvl w:ilvl="7">
      <w:start w:val="1"/>
      <w:numFmt w:val="decimal"/>
      <w:lvlText w:val="%1.%2.%3.%4.%5.%6.%7.%8."/>
      <w:lvlJc w:val="start"/>
      <w:pPr>
        <w:ind w:start="3744" w:hanging="1224"/>
      </w:pPr>
      <w:rPr/>
    </w:lvl>
    <w:lvl w:ilvl="8">
      <w:start w:val="1"/>
      <w:numFmt w:val="decimal"/>
      <w:lvlText w:val="%1.%2.%3.%4.%5.%6.%7.%8.%9."/>
      <w:lvlJc w:val="start"/>
      <w:pPr>
        <w:ind w:start="4320" w:hanging="1440"/>
      </w:pPr>
      <w:rPr/>
    </w:lvl>
  </w:abstractNum>
  <w:abstractNum w:abstractNumId="9">
    <w:lvl w:ilvl="0">
      <w:start w:val="1"/>
      <w:numFmt w:val="bullet"/>
      <w:lvlText w:val=""/>
      <w:lvlJc w:val="start"/>
      <w:pPr>
        <w:ind w:start="1512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Calibri" w:cs="Times New Roman"/>
      <w:color w:val="auto"/>
      <w:sz w:val="24"/>
      <w:szCs w:val="22"/>
      <w:lang w:val="ru-RU" w:eastAsia="zh-CN" w:bidi="ar-SA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tabs>
        <w:tab w:val="left" w:pos="0" w:leader="none"/>
        <w:tab w:val="left" w:pos="5812" w:leader="none"/>
        <w:tab w:val="left" w:pos="6946" w:leader="none"/>
      </w:tabs>
      <w:snapToGrid w:val="false"/>
      <w:jc w:val="center"/>
      <w:outlineLvl w:val="4"/>
    </w:pPr>
    <w:rPr>
      <w:rFonts w:eastAsia="Times New Roman"/>
      <w:color w:val="000000"/>
      <w:sz w:val="22"/>
      <w:lang w:val="ru-RU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b w:val="false"/>
      <w:lang w:val="ru-RU"/>
    </w:rPr>
  </w:style>
  <w:style w:type="character" w:styleId="WW8Num4z1">
    <w:name w:val="WW8Num4z1"/>
    <w:qFormat/>
    <w:rPr>
      <w:sz w:val="24"/>
      <w:szCs w:val="24"/>
    </w:rPr>
  </w:style>
  <w:style w:type="character" w:styleId="WW8Num5z0">
    <w:name w:val="WW8Num5z0"/>
    <w:qFormat/>
    <w:rPr>
      <w:lang w:val="ru-RU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8z1">
    <w:name w:val="WW8Num8z1"/>
    <w:qFormat/>
    <w:rPr>
      <w:b w:val="false"/>
    </w:rPr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2">
    <w:name w:val="WW8Num4z2"/>
    <w:qFormat/>
    <w:rPr>
      <w:rFonts w:ascii="Wingdings" w:hAnsi="Wingdings" w:cs="Wingdings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1">
    <w:name w:val="WW8Num7z1"/>
    <w:qFormat/>
    <w:rPr>
      <w:sz w:val="24"/>
      <w:szCs w:val="24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/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>
      <w:sz w:val="24"/>
      <w:szCs w:val="24"/>
    </w:rPr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b w:val="false"/>
    </w:rPr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/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>
      <w:color w:val="FFFFFF"/>
    </w:rPr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Style13">
    <w:name w:val="Основной шрифт абзаца"/>
    <w:qFormat/>
    <w:rPr/>
  </w:style>
  <w:style w:type="character" w:styleId="Normal1">
    <w:name w:val="_Normal Знак"/>
    <w:qFormat/>
    <w:rPr>
      <w:rFonts w:ascii="Times New Roman" w:hAnsi="Times New Roman" w:cs="Times New Roman"/>
      <w:sz w:val="24"/>
      <w:szCs w:val="22"/>
    </w:rPr>
  </w:style>
  <w:style w:type="character" w:styleId="NumericSpis">
    <w:name w:val="_NumericSpis Знак"/>
    <w:qFormat/>
    <w:rPr>
      <w:rFonts w:ascii="Times New Roman" w:hAnsi="Times New Roman" w:cs="Times New Roman"/>
      <w:sz w:val="24"/>
      <w:szCs w:val="22"/>
    </w:rPr>
  </w:style>
  <w:style w:type="character" w:styleId="Zagolovok2">
    <w:name w:val="_Zagolovok2 Знак"/>
    <w:qFormat/>
    <w:rPr>
      <w:rFonts w:ascii="Times New Roman" w:hAnsi="Times New Roman" w:cs="Times New Roman"/>
      <w:b/>
      <w:sz w:val="24"/>
      <w:szCs w:val="22"/>
    </w:rPr>
  </w:style>
  <w:style w:type="character" w:styleId="Zagolovok1">
    <w:name w:val="_Zagolovok1 Знак"/>
    <w:qFormat/>
    <w:rPr>
      <w:rFonts w:ascii="Times New Roman" w:hAnsi="Times New Roman" w:cs="Times New Roman"/>
      <w:b/>
      <w:sz w:val="24"/>
      <w:szCs w:val="22"/>
    </w:rPr>
  </w:style>
  <w:style w:type="character" w:styleId="MySpis">
    <w:name w:val="_MySpis Знак"/>
    <w:qFormat/>
    <w:rPr>
      <w:rFonts w:ascii="Times New Roman" w:hAnsi="Times New Roman" w:cs="Times New Roman"/>
      <w:sz w:val="24"/>
      <w:szCs w:val="22"/>
    </w:rPr>
  </w:style>
  <w:style w:type="character" w:styleId="UnmarkedSpis">
    <w:name w:val="_UnmarkedSpis Знак"/>
    <w:qFormat/>
    <w:rPr>
      <w:rFonts w:ascii="Times New Roman" w:hAnsi="Times New Roman" w:cs="Times New Roman"/>
      <w:sz w:val="24"/>
      <w:szCs w:val="22"/>
    </w:rPr>
  </w:style>
  <w:style w:type="character" w:styleId="DoubleSpis">
    <w:name w:val="_DoubleSpis Знак"/>
    <w:qFormat/>
    <w:rPr>
      <w:rFonts w:ascii="Times New Roman" w:hAnsi="Times New Roman" w:cs="Times New Roman"/>
      <w:sz w:val="24"/>
      <w:szCs w:val="22"/>
    </w:rPr>
  </w:style>
  <w:style w:type="character" w:styleId="Style14">
    <w:name w:val="Верхний колонтитул Знак"/>
    <w:qFormat/>
    <w:rPr>
      <w:rFonts w:ascii="Times New Roman" w:hAnsi="Times New Roman" w:cs="Times New Roman"/>
      <w:sz w:val="24"/>
      <w:szCs w:val="22"/>
    </w:rPr>
  </w:style>
  <w:style w:type="character" w:styleId="Style15">
    <w:name w:val="Нижний колонтитул Знак"/>
    <w:qFormat/>
    <w:rPr>
      <w:rFonts w:ascii="Times New Roman" w:hAnsi="Times New Roman" w:cs="Times New Roman"/>
      <w:sz w:val="24"/>
      <w:szCs w:val="22"/>
    </w:rPr>
  </w:style>
  <w:style w:type="character" w:styleId="PageNumber">
    <w:name w:val="Page Number"/>
    <w:basedOn w:val="Style13"/>
    <w:rPr/>
  </w:style>
  <w:style w:type="character" w:styleId="Style16">
    <w:name w:val="Основной текст Знак"/>
    <w:qFormat/>
    <w:rPr>
      <w:rFonts w:ascii="Times New Roman" w:hAnsi="Times New Roman" w:eastAsia="Times New Roman" w:cs="Times New Roman"/>
      <w:b/>
      <w:bCs/>
      <w:sz w:val="24"/>
      <w:szCs w:val="24"/>
      <w:lang w:val="ru-RU"/>
    </w:rPr>
  </w:style>
  <w:style w:type="character" w:styleId="Style17">
    <w:name w:val="Текст выноски Знак"/>
    <w:qFormat/>
    <w:rPr>
      <w:rFonts w:ascii="Tahoma" w:hAnsi="Tahoma" w:cs="Tahoma"/>
      <w:sz w:val="16"/>
      <w:szCs w:val="16"/>
    </w:rPr>
  </w:style>
  <w:style w:type="character" w:styleId="5">
    <w:name w:val="Заголовок 5 Знак"/>
    <w:qFormat/>
    <w:rPr>
      <w:rFonts w:ascii="Times New Roman" w:hAnsi="Times New Roman" w:eastAsia="Times New Roman" w:cs="Times New Roman"/>
      <w:color w:val="000000"/>
      <w:sz w:val="22"/>
      <w:szCs w:val="22"/>
    </w:rPr>
  </w:style>
  <w:style w:type="character" w:styleId="51">
    <w:name w:val="Заголовок 5 Знак1"/>
    <w:qFormat/>
    <w:rPr>
      <w:rFonts w:ascii="Calibri Light" w:hAnsi="Calibri Light" w:eastAsia="Times New Roman" w:cs="Times New Roman"/>
      <w:color w:val="2E74B5"/>
      <w:sz w:val="22"/>
      <w:szCs w:val="22"/>
    </w:rPr>
  </w:style>
  <w:style w:type="character" w:styleId="Style18">
    <w:name w:val="Знак примечания"/>
    <w:qFormat/>
    <w:rPr>
      <w:sz w:val="16"/>
      <w:szCs w:val="16"/>
    </w:rPr>
  </w:style>
  <w:style w:type="character" w:styleId="Style19">
    <w:name w:val="Текст примечания Знак"/>
    <w:qFormat/>
    <w:rPr>
      <w:rFonts w:ascii="Times New Roman" w:hAnsi="Times New Roman" w:cs="Times New Roman"/>
    </w:rPr>
  </w:style>
  <w:style w:type="character" w:styleId="Style20">
    <w:name w:val="Тема примечания Знак"/>
    <w:qFormat/>
    <w:rPr>
      <w:rFonts w:ascii="Times New Roman" w:hAnsi="Times New Roman" w:cs="Times New Roman"/>
      <w:b/>
      <w:bCs/>
    </w:rPr>
  </w:style>
  <w:style w:type="character" w:styleId="Style21">
    <w:name w:val="Текст сноски Знак"/>
    <w:qFormat/>
    <w:rPr>
      <w:rFonts w:ascii="Times New Roman" w:hAnsi="Times New Roman" w:cs="Times New Roman"/>
    </w:rPr>
  </w:style>
  <w:style w:type="character" w:styleId="FootnoteCharacters">
    <w:name w:val="Footnote Characters"/>
    <w:qFormat/>
    <w:rPr>
      <w:vertAlign w:val="superscript"/>
    </w:rPr>
  </w:style>
  <w:style w:type="character" w:styleId="InternetLink">
    <w:name w:val="Internet Link"/>
    <w:rPr>
      <w:color w:val="0563C1"/>
      <w:u w:val="single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WWEndnoteCharacters">
    <w:name w:val="WW-Endnote Characters"/>
    <w:qFormat/>
    <w:rPr/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/>
    <w:rPr>
      <w:rFonts w:eastAsia="Times New Roman"/>
      <w:b/>
      <w:bCs/>
      <w:szCs w:val="24"/>
      <w:lang w:val="ru-RU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2">
    <w:name w:val="_Normal"/>
    <w:basedOn w:val="Normal"/>
    <w:qFormat/>
    <w:pPr>
      <w:spacing w:lineRule="auto" w:line="288"/>
      <w:ind w:start="0" w:end="0" w:firstLine="700"/>
      <w:jc w:val="both"/>
    </w:pPr>
    <w:rPr>
      <w:lang w:val="ru-RU"/>
    </w:rPr>
  </w:style>
  <w:style w:type="paragraph" w:styleId="NumericSpis1">
    <w:name w:val="_NumericSpis"/>
    <w:basedOn w:val="Normal"/>
    <w:qFormat/>
    <w:pPr>
      <w:numPr>
        <w:ilvl w:val="0"/>
        <w:numId w:val="2"/>
      </w:numPr>
      <w:tabs>
        <w:tab w:val="decimal" w:pos="720" w:leader="none"/>
      </w:tabs>
      <w:spacing w:lineRule="auto" w:line="288"/>
      <w:jc w:val="both"/>
    </w:pPr>
    <w:rPr>
      <w:lang w:val="ru-RU"/>
    </w:rPr>
  </w:style>
  <w:style w:type="paragraph" w:styleId="Zagolovok21">
    <w:name w:val="_Zagolovok2"/>
    <w:basedOn w:val="Normal"/>
    <w:qFormat/>
    <w:pPr>
      <w:spacing w:lineRule="auto" w:line="288"/>
      <w:ind w:start="0" w:end="0" w:firstLine="700"/>
      <w:jc w:val="both"/>
    </w:pPr>
    <w:rPr>
      <w:b/>
      <w:lang w:val="ru-RU"/>
    </w:rPr>
  </w:style>
  <w:style w:type="paragraph" w:styleId="Zagolovok11">
    <w:name w:val="_Zagolovok1"/>
    <w:basedOn w:val="Normal"/>
    <w:qFormat/>
    <w:pPr>
      <w:spacing w:lineRule="auto" w:line="288"/>
      <w:jc w:val="center"/>
    </w:pPr>
    <w:rPr>
      <w:b/>
      <w:lang w:val="ru-RU"/>
    </w:rPr>
  </w:style>
  <w:style w:type="paragraph" w:styleId="MySpis1">
    <w:name w:val="_MySpis"/>
    <w:basedOn w:val="Normal"/>
    <w:qFormat/>
    <w:pPr>
      <w:spacing w:lineRule="auto" w:line="288"/>
      <w:ind w:start="940" w:end="0" w:hanging="560"/>
      <w:jc w:val="both"/>
    </w:pPr>
    <w:rPr>
      <w:lang w:val="ru-RU"/>
    </w:rPr>
  </w:style>
  <w:style w:type="paragraph" w:styleId="UnmarkedSpis1">
    <w:name w:val="_UnmarkedSpis"/>
    <w:basedOn w:val="Normal"/>
    <w:qFormat/>
    <w:pPr>
      <w:numPr>
        <w:ilvl w:val="0"/>
        <w:numId w:val="3"/>
      </w:numPr>
      <w:tabs>
        <w:tab w:val="decimal" w:pos="720" w:leader="none"/>
      </w:tabs>
      <w:spacing w:lineRule="auto" w:line="288"/>
      <w:ind w:start="700" w:end="0" w:hanging="0"/>
      <w:jc w:val="both"/>
    </w:pPr>
    <w:rPr>
      <w:lang w:val="ru-RU"/>
    </w:rPr>
  </w:style>
  <w:style w:type="paragraph" w:styleId="DoubleSpis1">
    <w:name w:val="_DoubleSpis"/>
    <w:basedOn w:val="Normal"/>
    <w:qFormat/>
    <w:pPr>
      <w:numPr>
        <w:ilvl w:val="0"/>
        <w:numId w:val="6"/>
      </w:numPr>
      <w:tabs>
        <w:tab w:val="decimal" w:pos="1304" w:leader="none"/>
      </w:tabs>
      <w:spacing w:lineRule="auto" w:line="288"/>
      <w:ind w:start="1300" w:end="0" w:hanging="0"/>
      <w:jc w:val="both"/>
    </w:pPr>
    <w:rPr>
      <w:lang w:val="ru-RU"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>
      <w:lang w:val="ru-RU"/>
    </w:rPr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>
      <w:lang w:val="ru-RU"/>
    </w:rPr>
  </w:style>
  <w:style w:type="paragraph" w:styleId="Style22">
    <w:name w:val="Текст выноски"/>
    <w:basedOn w:val="Normal"/>
    <w:qFormat/>
    <w:pPr/>
    <w:rPr>
      <w:rFonts w:ascii="Tahoma" w:hAnsi="Tahoma" w:cs="Tahoma"/>
      <w:sz w:val="16"/>
      <w:szCs w:val="16"/>
      <w:lang w:val="ru-RU"/>
    </w:rPr>
  </w:style>
  <w:style w:type="paragraph" w:styleId="Style23">
    <w:name w:val="Абзац списка"/>
    <w:basedOn w:val="Normal"/>
    <w:qFormat/>
    <w:pPr>
      <w:spacing w:lineRule="auto" w:line="252" w:before="0" w:after="160"/>
      <w:ind w:start="720" w:end="0" w:hanging="0"/>
      <w:contextualSpacing/>
    </w:pPr>
    <w:rPr/>
  </w:style>
  <w:style w:type="paragraph" w:styleId="Style24">
    <w:name w:val="Текст примечания"/>
    <w:basedOn w:val="Normal"/>
    <w:qFormat/>
    <w:pPr/>
    <w:rPr>
      <w:sz w:val="20"/>
      <w:szCs w:val="20"/>
    </w:rPr>
  </w:style>
  <w:style w:type="paragraph" w:styleId="Style25">
    <w:name w:val="Тема примечания"/>
    <w:basedOn w:val="Style24"/>
    <w:next w:val="Style24"/>
    <w:qFormat/>
    <w:pPr/>
    <w:rPr>
      <w:b/>
      <w:bCs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2020-01-23T08:27:00Z</dcterms:created>
  <dc:creator>Владимир</dc:creator>
  <dc:description/>
  <dc:language>ru-RU</dc:language>
  <cp:lastModifiedBy/>
  <cp:lastPrinted>1995-11-21T17:41:00Z</cp:lastPrinted>
  <dcterms:modified xsi:type="dcterms:W3CDTF">2021-01-19T13:17:17Z</dcterms:modified>
  <cp:revision>8</cp:revision>
  <dc:subject/>
  <dc:title/>
</cp:coreProperties>
</file>