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CBAB1A" w14:textId="77777777" w:rsidR="00F010E6" w:rsidRDefault="00313257">
      <w:pPr>
        <w:rPr>
          <w:rFonts w:ascii="Times New Roman" w:eastAsia="Times New Roman" w:hAnsi="Times New Roman" w:cs="Times New Roman"/>
          <w:sz w:val="28"/>
          <w:szCs w:val="28"/>
        </w:rPr>
      </w:pPr>
      <w:r>
        <w:rPr>
          <w:noProof/>
          <w:lang w:val="es-MX" w:eastAsia="es-MX"/>
        </w:rPr>
        <w:drawing>
          <wp:anchor distT="0" distB="0" distL="0" distR="0" simplePos="0" relativeHeight="251658240" behindDoc="0" locked="0" layoutInCell="1" hidden="0" allowOverlap="1" wp14:anchorId="79846D14" wp14:editId="6859A368">
            <wp:simplePos x="0" y="0"/>
            <wp:positionH relativeFrom="column">
              <wp:posOffset>-937259</wp:posOffset>
            </wp:positionH>
            <wp:positionV relativeFrom="paragraph">
              <wp:posOffset>4445</wp:posOffset>
            </wp:positionV>
            <wp:extent cx="1171575" cy="1173480"/>
            <wp:effectExtent l="0" t="0" r="0" b="0"/>
            <wp:wrapNone/>
            <wp:docPr id="2"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Forma, Rectángulo&#10;&#10;Descripción generada automáticamente"/>
                    <pic:cNvPicPr preferRelativeResize="0"/>
                  </pic:nvPicPr>
                  <pic:blipFill>
                    <a:blip r:embed="rId7"/>
                    <a:srcRect b="84978"/>
                    <a:stretch>
                      <a:fillRect/>
                    </a:stretch>
                  </pic:blipFill>
                  <pic:spPr>
                    <a:xfrm>
                      <a:off x="0" y="0"/>
                      <a:ext cx="1171575" cy="1173480"/>
                    </a:xfrm>
                    <a:prstGeom prst="rect">
                      <a:avLst/>
                    </a:prstGeom>
                    <a:ln/>
                  </pic:spPr>
                </pic:pic>
              </a:graphicData>
            </a:graphic>
          </wp:anchor>
        </w:drawing>
      </w:r>
    </w:p>
    <w:p w14:paraId="336FC6D5" w14:textId="77777777" w:rsidR="00F010E6" w:rsidRDefault="0031325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UNIVERSIDAD DE LAS FUERZAS ARMADAS ‘ESPE’</w:t>
      </w:r>
    </w:p>
    <w:p w14:paraId="622BB0AB" w14:textId="77777777" w:rsidR="00F010E6" w:rsidRDefault="0031325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Departamento de Ciencias de la Computación</w:t>
      </w:r>
    </w:p>
    <w:p w14:paraId="4125816A" w14:textId="77777777" w:rsidR="00F010E6" w:rsidRDefault="00F010E6">
      <w:pPr>
        <w:jc w:val="center"/>
        <w:rPr>
          <w:rFonts w:ascii="Times New Roman" w:eastAsia="Times New Roman" w:hAnsi="Times New Roman" w:cs="Times New Roman"/>
          <w:b/>
          <w:bCs/>
          <w:sz w:val="28"/>
          <w:szCs w:val="28"/>
        </w:rPr>
      </w:pPr>
    </w:p>
    <w:p w14:paraId="56E28B8F" w14:textId="77777777" w:rsidR="00F010E6" w:rsidRDefault="00F010E6">
      <w:pPr>
        <w:jc w:val="center"/>
        <w:rPr>
          <w:rFonts w:ascii="Times New Roman" w:eastAsia="Times New Roman" w:hAnsi="Times New Roman" w:cs="Times New Roman"/>
          <w:b/>
          <w:bCs/>
          <w:sz w:val="28"/>
          <w:szCs w:val="28"/>
        </w:rPr>
      </w:pPr>
    </w:p>
    <w:p w14:paraId="4C10D4CD" w14:textId="77777777" w:rsidR="00F010E6" w:rsidRDefault="0031325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Ingeniería en tecnologías de la información</w:t>
      </w:r>
    </w:p>
    <w:p w14:paraId="3CC08CDF" w14:textId="77777777" w:rsidR="00F010E6" w:rsidRDefault="00F010E6">
      <w:pPr>
        <w:jc w:val="center"/>
        <w:rPr>
          <w:rFonts w:ascii="Times New Roman" w:eastAsia="Times New Roman" w:hAnsi="Times New Roman" w:cs="Times New Roman"/>
          <w:sz w:val="32"/>
          <w:szCs w:val="32"/>
        </w:rPr>
      </w:pPr>
    </w:p>
    <w:p w14:paraId="41E91D08" w14:textId="77777777" w:rsidR="00F010E6" w:rsidRDefault="00F010E6">
      <w:pPr>
        <w:jc w:val="center"/>
        <w:rPr>
          <w:rFonts w:ascii="Times New Roman" w:eastAsia="Times New Roman" w:hAnsi="Times New Roman" w:cs="Times New Roman"/>
          <w:sz w:val="32"/>
          <w:szCs w:val="32"/>
        </w:rPr>
      </w:pPr>
    </w:p>
    <w:p w14:paraId="270B8377" w14:textId="77777777" w:rsidR="00F010E6" w:rsidRDefault="0031325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A.M. de Sistemas NRC-29293</w:t>
      </w:r>
    </w:p>
    <w:p w14:paraId="7FBF319C" w14:textId="77777777" w:rsidR="00F010E6" w:rsidRDefault="00F010E6">
      <w:pPr>
        <w:jc w:val="center"/>
        <w:rPr>
          <w:rFonts w:ascii="Times New Roman" w:eastAsia="Times New Roman" w:hAnsi="Times New Roman" w:cs="Times New Roman"/>
          <w:sz w:val="32"/>
          <w:szCs w:val="32"/>
        </w:rPr>
      </w:pPr>
    </w:p>
    <w:p w14:paraId="64DF3584" w14:textId="77777777" w:rsidR="00F010E6" w:rsidRDefault="0031325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ACTIVIDAD 2</w:t>
      </w:r>
    </w:p>
    <w:p w14:paraId="6214EEEE" w14:textId="77777777" w:rsidR="00F010E6" w:rsidRDefault="00F010E6">
      <w:pPr>
        <w:jc w:val="center"/>
        <w:rPr>
          <w:rFonts w:ascii="Times New Roman" w:eastAsia="Times New Roman" w:hAnsi="Times New Roman" w:cs="Times New Roman"/>
          <w:b/>
          <w:bCs/>
          <w:sz w:val="32"/>
          <w:szCs w:val="32"/>
        </w:rPr>
      </w:pPr>
    </w:p>
    <w:p w14:paraId="581F0277" w14:textId="77777777" w:rsidR="00F010E6" w:rsidRDefault="00313257">
      <w:pP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                                           Integrantes:</w:t>
      </w:r>
      <w:r>
        <w:rPr>
          <w:rFonts w:ascii="Times New Roman" w:eastAsia="Times New Roman" w:hAnsi="Times New Roman" w:cs="Times New Roman"/>
          <w:b/>
          <w:bCs/>
          <w:sz w:val="32"/>
          <w:szCs w:val="32"/>
        </w:rPr>
        <w:br/>
      </w:r>
      <w:r>
        <w:rPr>
          <w:rFonts w:ascii="Times New Roman" w:eastAsia="Times New Roman" w:hAnsi="Times New Roman" w:cs="Times New Roman"/>
          <w:sz w:val="32"/>
          <w:szCs w:val="32"/>
        </w:rPr>
        <w:br/>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Christopher Joel Armas </w:t>
      </w:r>
      <w:proofErr w:type="spellStart"/>
      <w:r>
        <w:rPr>
          <w:rFonts w:ascii="Times New Roman" w:eastAsia="Times New Roman" w:hAnsi="Times New Roman" w:cs="Times New Roman"/>
          <w:sz w:val="32"/>
          <w:szCs w:val="32"/>
        </w:rPr>
        <w:t>Piarpuezan</w:t>
      </w:r>
      <w:proofErr w:type="spellEnd"/>
    </w:p>
    <w:p w14:paraId="38AE7F8C" w14:textId="77777777" w:rsidR="00F010E6" w:rsidRDefault="0031325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Daniel Alexis Quilca Andrade</w:t>
      </w:r>
    </w:p>
    <w:p w14:paraId="1960026A" w14:textId="77777777" w:rsidR="00F010E6" w:rsidRDefault="0031325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Isaac </w:t>
      </w:r>
      <w:proofErr w:type="spellStart"/>
      <w:r>
        <w:rPr>
          <w:rFonts w:ascii="Times New Roman" w:eastAsia="Times New Roman" w:hAnsi="Times New Roman" w:cs="Times New Roman"/>
          <w:sz w:val="32"/>
          <w:szCs w:val="32"/>
        </w:rPr>
        <w:t>Sebastian</w:t>
      </w:r>
      <w:proofErr w:type="spellEnd"/>
      <w:r>
        <w:rPr>
          <w:rFonts w:ascii="Times New Roman" w:eastAsia="Times New Roman" w:hAnsi="Times New Roman" w:cs="Times New Roman"/>
          <w:sz w:val="32"/>
          <w:szCs w:val="32"/>
        </w:rPr>
        <w:t xml:space="preserve"> Proaño Panchi</w:t>
      </w:r>
    </w:p>
    <w:p w14:paraId="13496D35" w14:textId="77777777" w:rsidR="00F010E6" w:rsidRDefault="0031325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Camila Nicole Shiguango Valverde </w:t>
      </w:r>
    </w:p>
    <w:p w14:paraId="02EF55C9" w14:textId="77777777" w:rsidR="00F010E6" w:rsidRDefault="00F010E6">
      <w:pPr>
        <w:jc w:val="center"/>
        <w:rPr>
          <w:rFonts w:ascii="Times New Roman" w:eastAsia="Times New Roman" w:hAnsi="Times New Roman" w:cs="Times New Roman"/>
          <w:b/>
          <w:bCs/>
          <w:sz w:val="32"/>
          <w:szCs w:val="32"/>
        </w:rPr>
      </w:pPr>
    </w:p>
    <w:p w14:paraId="32BAB718" w14:textId="77777777" w:rsidR="00F010E6" w:rsidRDefault="00F010E6">
      <w:pPr>
        <w:jc w:val="center"/>
        <w:rPr>
          <w:rFonts w:ascii="Times New Roman" w:eastAsia="Times New Roman" w:hAnsi="Times New Roman" w:cs="Times New Roman"/>
          <w:b/>
          <w:bCs/>
          <w:sz w:val="32"/>
          <w:szCs w:val="32"/>
        </w:rPr>
      </w:pPr>
    </w:p>
    <w:p w14:paraId="400EDA9B" w14:textId="77777777" w:rsidR="00F010E6" w:rsidRDefault="00F010E6">
      <w:pPr>
        <w:jc w:val="center"/>
        <w:rPr>
          <w:rFonts w:ascii="Times New Roman" w:eastAsia="Times New Roman" w:hAnsi="Times New Roman" w:cs="Times New Roman"/>
          <w:b/>
          <w:bCs/>
          <w:sz w:val="32"/>
          <w:szCs w:val="32"/>
        </w:rPr>
      </w:pPr>
    </w:p>
    <w:p w14:paraId="14E53059" w14:textId="77777777" w:rsidR="00F010E6" w:rsidRDefault="0031325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DOCENTE:</w:t>
      </w:r>
    </w:p>
    <w:p w14:paraId="377C771C" w14:textId="77777777" w:rsidR="00F010E6" w:rsidRDefault="0031325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Ing. Hernán Jácome</w:t>
      </w:r>
    </w:p>
    <w:p w14:paraId="3CF25087" w14:textId="77777777" w:rsidR="00F010E6" w:rsidRDefault="00F010E6">
      <w:pPr>
        <w:jc w:val="center"/>
        <w:rPr>
          <w:rFonts w:ascii="Times New Roman" w:eastAsia="Times New Roman" w:hAnsi="Times New Roman" w:cs="Times New Roman"/>
          <w:b/>
          <w:bCs/>
          <w:sz w:val="32"/>
          <w:szCs w:val="32"/>
        </w:rPr>
      </w:pPr>
    </w:p>
    <w:p w14:paraId="37081F57" w14:textId="77777777" w:rsidR="00F010E6" w:rsidRDefault="00313257">
      <w:pPr>
        <w:spacing w:after="0" w:line="360" w:lineRule="auto"/>
        <w:rPr>
          <w:rFonts w:ascii="Arial" w:eastAsia="Arial" w:hAnsi="Arial" w:cs="Arial"/>
          <w:b/>
          <w:bCs/>
          <w:sz w:val="24"/>
          <w:szCs w:val="24"/>
        </w:rPr>
      </w:pPr>
      <w:r>
        <w:rPr>
          <w:rFonts w:ascii="Arial" w:eastAsia="Arial" w:hAnsi="Arial" w:cs="Arial"/>
          <w:b/>
          <w:bCs/>
          <w:sz w:val="24"/>
          <w:szCs w:val="24"/>
        </w:rPr>
        <w:lastRenderedPageBreak/>
        <w:t>Descripción de la actividad</w:t>
      </w:r>
    </w:p>
    <w:p w14:paraId="4DA70D58" w14:textId="77777777" w:rsidR="00F010E6" w:rsidRDefault="00F010E6">
      <w:pPr>
        <w:spacing w:after="0" w:line="360" w:lineRule="auto"/>
        <w:rPr>
          <w:rFonts w:ascii="Arial" w:eastAsia="Arial" w:hAnsi="Arial" w:cs="Arial"/>
          <w:b/>
          <w:bCs/>
          <w:sz w:val="24"/>
          <w:szCs w:val="24"/>
        </w:rPr>
      </w:pPr>
    </w:p>
    <w:p w14:paraId="1CB7C06A" w14:textId="77777777" w:rsidR="00F010E6" w:rsidRDefault="00F010E6">
      <w:pPr>
        <w:spacing w:after="0" w:line="360" w:lineRule="auto"/>
        <w:jc w:val="both"/>
        <w:rPr>
          <w:rFonts w:ascii="Arial" w:eastAsia="Arial" w:hAnsi="Arial" w:cs="Arial"/>
          <w:b/>
          <w:bCs/>
          <w:sz w:val="24"/>
          <w:szCs w:val="24"/>
        </w:rPr>
      </w:pPr>
    </w:p>
    <w:p w14:paraId="505D5502" w14:textId="77777777" w:rsidR="00F010E6" w:rsidRDefault="00313257">
      <w:pPr>
        <w:numPr>
          <w:ilvl w:val="0"/>
          <w:numId w:val="5"/>
        </w:numPr>
        <w:spacing w:after="0" w:line="360" w:lineRule="auto"/>
        <w:jc w:val="both"/>
        <w:rPr>
          <w:rFonts w:ascii="Arial" w:eastAsia="Arial" w:hAnsi="Arial" w:cs="Arial"/>
          <w:sz w:val="24"/>
          <w:szCs w:val="24"/>
        </w:rPr>
      </w:pPr>
      <w:r>
        <w:rPr>
          <w:rFonts w:ascii="Arial" w:eastAsia="Arial" w:hAnsi="Arial" w:cs="Arial"/>
          <w:sz w:val="24"/>
          <w:szCs w:val="24"/>
        </w:rPr>
        <w:t xml:space="preserve">  Link del mapa conceptual realizado en </w:t>
      </w:r>
      <w:proofErr w:type="spellStart"/>
      <w:r>
        <w:rPr>
          <w:rFonts w:ascii="Arial" w:eastAsia="Arial" w:hAnsi="Arial" w:cs="Arial"/>
          <w:sz w:val="24"/>
          <w:szCs w:val="24"/>
        </w:rPr>
        <w:t>Canva</w:t>
      </w:r>
      <w:proofErr w:type="spellEnd"/>
      <w:r>
        <w:rPr>
          <w:rFonts w:ascii="Arial" w:eastAsia="Arial" w:hAnsi="Arial" w:cs="Arial"/>
          <w:sz w:val="24"/>
          <w:szCs w:val="24"/>
        </w:rPr>
        <w:t xml:space="preserve"> </w:t>
      </w:r>
    </w:p>
    <w:p w14:paraId="279317E7" w14:textId="77777777" w:rsidR="00F010E6" w:rsidRDefault="001D29E4">
      <w:pPr>
        <w:spacing w:after="0" w:line="360" w:lineRule="auto"/>
        <w:ind w:left="720"/>
        <w:jc w:val="both"/>
        <w:rPr>
          <w:rFonts w:ascii="Arial" w:eastAsia="Arial" w:hAnsi="Arial" w:cs="Arial"/>
          <w:sz w:val="24"/>
          <w:szCs w:val="24"/>
        </w:rPr>
      </w:pPr>
      <w:hyperlink r:id="rId8">
        <w:r w:rsidR="00313257">
          <w:rPr>
            <w:rFonts w:ascii="Arial" w:eastAsia="Arial" w:hAnsi="Arial" w:cs="Arial"/>
            <w:color w:val="1155CC"/>
            <w:sz w:val="24"/>
            <w:szCs w:val="24"/>
            <w:u w:val="single"/>
          </w:rPr>
          <w:t>https://www.canva.com/design/DAG4ah5v7z4/sdmuwim1v5VBt-SuXHAxnA/edit?utm_content=DAG4ah5v7z4&amp;utm_campaign=designshare&amp;utm_medium=link2&amp;utm_source=sharebutton</w:t>
        </w:r>
      </w:hyperlink>
    </w:p>
    <w:p w14:paraId="5108BB27"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noProof/>
          <w:sz w:val="24"/>
          <w:szCs w:val="24"/>
          <w:lang w:val="es-MX" w:eastAsia="es-MX"/>
        </w:rPr>
        <w:drawing>
          <wp:inline distT="114300" distB="114300" distL="114300" distR="114300" wp14:anchorId="51DEB275" wp14:editId="67711EFF">
            <wp:extent cx="5847398" cy="6305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847398" cy="6305550"/>
                    </a:xfrm>
                    <a:prstGeom prst="rect">
                      <a:avLst/>
                    </a:prstGeom>
                    <a:ln/>
                  </pic:spPr>
                </pic:pic>
              </a:graphicData>
            </a:graphic>
          </wp:inline>
        </w:drawing>
      </w:r>
    </w:p>
    <w:p w14:paraId="5700B6E3" w14:textId="77777777" w:rsidR="00F010E6" w:rsidRDefault="00F010E6">
      <w:pPr>
        <w:spacing w:after="0" w:line="360" w:lineRule="auto"/>
        <w:ind w:left="720"/>
        <w:jc w:val="both"/>
        <w:rPr>
          <w:rFonts w:ascii="Arial" w:eastAsia="Arial" w:hAnsi="Arial" w:cs="Arial"/>
          <w:sz w:val="24"/>
          <w:szCs w:val="24"/>
        </w:rPr>
      </w:pPr>
    </w:p>
    <w:p w14:paraId="5174F5A2"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1.1 Posteriormente, deberá seleccionar un servicio específico de TI (seguridad de la información, análisis de datos, asistencia técnica, despliegue de aplicaciones, entre otros) y realizar un resumen en la que argumenten cómo dicho servicio se ha transformado a lo largo del tiempo y qué buenas prácticas (ITIL, COBIT o CMMI) podrían aplicarse para optimizarlo en una organización moderna.</w:t>
      </w:r>
    </w:p>
    <w:p w14:paraId="0F003985" w14:textId="77777777" w:rsidR="00F010E6" w:rsidRDefault="00F010E6">
      <w:pPr>
        <w:spacing w:after="0" w:line="360" w:lineRule="auto"/>
        <w:jc w:val="both"/>
        <w:rPr>
          <w:rFonts w:ascii="Arial" w:eastAsia="Arial" w:hAnsi="Arial" w:cs="Arial"/>
          <w:sz w:val="24"/>
          <w:szCs w:val="24"/>
        </w:rPr>
      </w:pPr>
    </w:p>
    <w:p w14:paraId="16AB6BDA" w14:textId="77777777" w:rsidR="00F010E6" w:rsidRDefault="00F010E6">
      <w:pPr>
        <w:spacing w:after="0" w:line="360" w:lineRule="auto"/>
        <w:ind w:left="720"/>
        <w:jc w:val="both"/>
        <w:rPr>
          <w:rFonts w:ascii="Arial" w:eastAsia="Arial" w:hAnsi="Arial" w:cs="Arial"/>
          <w:sz w:val="24"/>
          <w:szCs w:val="24"/>
        </w:rPr>
      </w:pPr>
    </w:p>
    <w:p w14:paraId="49553714" w14:textId="77777777" w:rsidR="00F010E6" w:rsidRDefault="00F010E6">
      <w:pPr>
        <w:spacing w:after="0" w:line="360" w:lineRule="auto"/>
        <w:ind w:left="720"/>
        <w:jc w:val="both"/>
        <w:rPr>
          <w:rFonts w:ascii="Arial" w:eastAsia="Arial" w:hAnsi="Arial" w:cs="Arial"/>
          <w:sz w:val="24"/>
          <w:szCs w:val="24"/>
        </w:rPr>
      </w:pPr>
    </w:p>
    <w:p w14:paraId="652ECC89" w14:textId="77777777" w:rsidR="00F010E6" w:rsidRDefault="00313257">
      <w:pPr>
        <w:spacing w:before="240" w:after="240" w:line="360" w:lineRule="auto"/>
        <w:jc w:val="center"/>
        <w:rPr>
          <w:rFonts w:ascii="Arial" w:eastAsia="Arial" w:hAnsi="Arial" w:cs="Arial"/>
          <w:b/>
          <w:bCs/>
          <w:sz w:val="24"/>
          <w:szCs w:val="24"/>
        </w:rPr>
      </w:pPr>
      <w:r>
        <w:rPr>
          <w:rFonts w:ascii="Arial" w:eastAsia="Arial" w:hAnsi="Arial" w:cs="Arial"/>
          <w:b/>
          <w:bCs/>
          <w:sz w:val="24"/>
          <w:szCs w:val="24"/>
        </w:rPr>
        <w:t xml:space="preserve">Servicio de TI seleccionado: </w:t>
      </w:r>
      <w:r>
        <w:rPr>
          <w:rFonts w:ascii="Arial" w:eastAsia="Arial" w:hAnsi="Arial" w:cs="Arial"/>
          <w:sz w:val="24"/>
          <w:szCs w:val="24"/>
        </w:rPr>
        <w:t>Seguridad de la Información</w:t>
      </w:r>
    </w:p>
    <w:p w14:paraId="4F698E8B" w14:textId="77777777" w:rsidR="00F010E6" w:rsidRDefault="00313257">
      <w:pPr>
        <w:spacing w:before="240" w:after="240" w:line="360" w:lineRule="auto"/>
        <w:jc w:val="both"/>
        <w:rPr>
          <w:rFonts w:ascii="Arial" w:eastAsia="Arial" w:hAnsi="Arial" w:cs="Arial"/>
          <w:b/>
          <w:bCs/>
          <w:sz w:val="24"/>
          <w:szCs w:val="24"/>
        </w:rPr>
      </w:pPr>
      <w:r>
        <w:rPr>
          <w:rFonts w:ascii="Arial" w:eastAsia="Arial" w:hAnsi="Arial" w:cs="Arial"/>
          <w:b/>
          <w:bCs/>
          <w:sz w:val="24"/>
          <w:szCs w:val="24"/>
        </w:rPr>
        <w:t xml:space="preserve"> Antes de los años 80 (Modelo TIPO I – Centralizado):</w:t>
      </w:r>
    </w:p>
    <w:p w14:paraId="1F8E3E1E"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En esta época, la seguridad de la información se enfoca principalmente en proteger físicamente los equipos informáticos y controlar el acceso a los centros de cómputo. Las medidas eran bastante básicas, priorizando la disponibilidad del hardware más que la confidencialidad de los datos. El departamento de TI se limitaba a mantener la integridad de los sistemas y a realizar copias de seguridad de manera periódica.</w:t>
      </w:r>
    </w:p>
    <w:p w14:paraId="2EF1D3A6" w14:textId="77777777" w:rsidR="00F010E6" w:rsidRDefault="00313257">
      <w:pPr>
        <w:spacing w:before="240" w:after="240" w:line="360" w:lineRule="auto"/>
        <w:jc w:val="both"/>
        <w:rPr>
          <w:rFonts w:ascii="Arial" w:eastAsia="Arial" w:hAnsi="Arial" w:cs="Arial"/>
          <w:b/>
          <w:bCs/>
          <w:sz w:val="24"/>
          <w:szCs w:val="24"/>
        </w:rPr>
      </w:pPr>
      <w:r>
        <w:rPr>
          <w:rFonts w:ascii="Arial" w:eastAsia="Arial" w:hAnsi="Arial" w:cs="Arial"/>
          <w:sz w:val="24"/>
          <w:szCs w:val="24"/>
        </w:rPr>
        <w:t xml:space="preserve"> </w:t>
      </w:r>
      <w:r>
        <w:rPr>
          <w:rFonts w:ascii="Arial" w:eastAsia="Arial" w:hAnsi="Arial" w:cs="Arial"/>
          <w:b/>
          <w:bCs/>
          <w:sz w:val="24"/>
          <w:szCs w:val="24"/>
        </w:rPr>
        <w:t>Entre 1980 y 2000 (Modelo TIPO II – Cliente/Servidor):</w:t>
      </w:r>
    </w:p>
    <w:p w14:paraId="0E515D7A"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Con la expansión de las redes, los sistemas operativos multiusuario y el surgimiento de Internet, la seguridad comenzó a adoptar un enfoque más tecnológico y menos físico. Aparecieron herramientas como firewalls, antivirus, contraseñas, auditorías y políticas de acceso. La seguridad empezó a ser gestionada como un servicio técnico dentro del área de TI, aunque todavía sin una integración clara con los objetivos del negocio.</w:t>
      </w:r>
    </w:p>
    <w:p w14:paraId="627BC073"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br/>
      </w:r>
    </w:p>
    <w:p w14:paraId="4092DF48" w14:textId="77777777" w:rsidR="00F010E6" w:rsidRDefault="00F010E6">
      <w:pPr>
        <w:spacing w:before="240" w:after="240" w:line="360" w:lineRule="auto"/>
        <w:jc w:val="both"/>
        <w:rPr>
          <w:rFonts w:ascii="Arial" w:eastAsia="Arial" w:hAnsi="Arial" w:cs="Arial"/>
          <w:sz w:val="24"/>
          <w:szCs w:val="24"/>
        </w:rPr>
      </w:pPr>
    </w:p>
    <w:p w14:paraId="5D8CAF63" w14:textId="77777777" w:rsidR="00F010E6" w:rsidRDefault="00313257">
      <w:pPr>
        <w:spacing w:before="240" w:after="240" w:line="360" w:lineRule="auto"/>
        <w:jc w:val="both"/>
        <w:rPr>
          <w:rFonts w:ascii="Arial" w:eastAsia="Arial" w:hAnsi="Arial" w:cs="Arial"/>
          <w:b/>
          <w:bCs/>
          <w:sz w:val="24"/>
          <w:szCs w:val="24"/>
        </w:rPr>
      </w:pPr>
      <w:r>
        <w:rPr>
          <w:rFonts w:ascii="Arial" w:eastAsia="Arial" w:hAnsi="Arial" w:cs="Arial"/>
          <w:b/>
          <w:bCs/>
          <w:sz w:val="24"/>
          <w:szCs w:val="24"/>
        </w:rPr>
        <w:lastRenderedPageBreak/>
        <w:t>Desde 2000 hasta la actualidad (Modelo TIPO III – Orientado a Servicios / Nube):</w:t>
      </w:r>
    </w:p>
    <w:p w14:paraId="793147D2"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Hoy en día, la seguridad de la información se ha convertido en un pilar estratégico para las organizaciones. Ya no se trata solo de protección técnica, sino que incluye la gestión de riesgos, el cumplimiento normativo, la privacidad de los datos y la resiliencia digital. Se han implementado prácticas como </w:t>
      </w:r>
      <w:proofErr w:type="spellStart"/>
      <w:r>
        <w:rPr>
          <w:rFonts w:ascii="Arial" w:eastAsia="Arial" w:hAnsi="Arial" w:cs="Arial"/>
          <w:sz w:val="24"/>
          <w:szCs w:val="24"/>
        </w:rPr>
        <w:t>DevSecOps</w:t>
      </w:r>
      <w:proofErr w:type="spellEnd"/>
      <w:r>
        <w:rPr>
          <w:rFonts w:ascii="Arial" w:eastAsia="Arial" w:hAnsi="Arial" w:cs="Arial"/>
          <w:sz w:val="24"/>
          <w:szCs w:val="24"/>
        </w:rPr>
        <w:t>, Zero Trust, gestión de vulnerabilidades, cifrado de datos y monitoreo continuo (SOC/SIEM). La seguridad ahora es proactiva, automatizada y está alineada con los objetivos del negocio.</w:t>
      </w:r>
    </w:p>
    <w:p w14:paraId="729D41D7" w14:textId="77777777" w:rsidR="00F010E6" w:rsidRDefault="00F010E6">
      <w:pPr>
        <w:spacing w:after="0" w:line="360" w:lineRule="auto"/>
        <w:jc w:val="both"/>
        <w:rPr>
          <w:rFonts w:ascii="Arial" w:eastAsia="Arial" w:hAnsi="Arial" w:cs="Arial"/>
          <w:b/>
          <w:bCs/>
          <w:sz w:val="28"/>
          <w:szCs w:val="28"/>
        </w:rPr>
      </w:pPr>
    </w:p>
    <w:p w14:paraId="15F3CD5E"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t>Conclusión</w:t>
      </w:r>
    </w:p>
    <w:p w14:paraId="451A5728"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La Seguridad de la Información ha recorrido un largo camino, pasando de ser una simple tarea técnica centrada en la infraestructura (TIPO I) a convertirse en un servicio estratégico de TI que no solo protege los activos digitales, sino que también asegura el cumplimiento normativo y refuerza la resiliencia de la organización (TIPO III). En el entorno actual, la combinación de ITIL (operación y gestión de servicios), COBIT (gobernanza y control) y CMMI (madurez y mejora continua) se vuelve esencial para optimizar la seguridad, minimizar riesgos y establecer la confianza digital como un valor competitivo y sostenible.</w:t>
      </w:r>
    </w:p>
    <w:p w14:paraId="1E8E625D" w14:textId="77777777" w:rsidR="00F010E6" w:rsidRDefault="00F010E6">
      <w:pPr>
        <w:spacing w:after="0" w:line="360" w:lineRule="auto"/>
        <w:jc w:val="both"/>
        <w:rPr>
          <w:rFonts w:ascii="Arial" w:eastAsia="Arial" w:hAnsi="Arial" w:cs="Arial"/>
          <w:sz w:val="24"/>
          <w:szCs w:val="24"/>
        </w:rPr>
      </w:pPr>
    </w:p>
    <w:p w14:paraId="5760528A" w14:textId="77777777" w:rsidR="00F010E6" w:rsidRDefault="00F010E6">
      <w:pPr>
        <w:spacing w:after="0" w:line="360" w:lineRule="auto"/>
        <w:jc w:val="both"/>
        <w:rPr>
          <w:rFonts w:ascii="Arial" w:eastAsia="Arial" w:hAnsi="Arial" w:cs="Arial"/>
          <w:sz w:val="24"/>
          <w:szCs w:val="24"/>
        </w:rPr>
      </w:pPr>
    </w:p>
    <w:p w14:paraId="254B6049" w14:textId="77777777" w:rsidR="00F010E6" w:rsidRDefault="00F010E6">
      <w:pPr>
        <w:spacing w:after="0" w:line="360" w:lineRule="auto"/>
        <w:jc w:val="both"/>
        <w:rPr>
          <w:rFonts w:ascii="Arial" w:eastAsia="Arial" w:hAnsi="Arial" w:cs="Arial"/>
          <w:sz w:val="24"/>
          <w:szCs w:val="24"/>
        </w:rPr>
      </w:pPr>
    </w:p>
    <w:p w14:paraId="57B9966D" w14:textId="77777777" w:rsidR="00F010E6" w:rsidRDefault="00F010E6">
      <w:pPr>
        <w:spacing w:after="0" w:line="360" w:lineRule="auto"/>
        <w:jc w:val="both"/>
        <w:rPr>
          <w:rFonts w:ascii="Arial" w:eastAsia="Arial" w:hAnsi="Arial" w:cs="Arial"/>
          <w:sz w:val="24"/>
          <w:szCs w:val="24"/>
        </w:rPr>
      </w:pPr>
    </w:p>
    <w:p w14:paraId="05CCBF80" w14:textId="77777777" w:rsidR="00F010E6" w:rsidRDefault="00F010E6">
      <w:pPr>
        <w:spacing w:after="0" w:line="360" w:lineRule="auto"/>
        <w:jc w:val="both"/>
        <w:rPr>
          <w:rFonts w:ascii="Arial" w:eastAsia="Arial" w:hAnsi="Arial" w:cs="Arial"/>
          <w:sz w:val="24"/>
          <w:szCs w:val="24"/>
        </w:rPr>
      </w:pPr>
    </w:p>
    <w:p w14:paraId="1ADB3432" w14:textId="77777777" w:rsidR="00F010E6" w:rsidRDefault="00F010E6">
      <w:pPr>
        <w:spacing w:after="0" w:line="360" w:lineRule="auto"/>
        <w:jc w:val="both"/>
        <w:rPr>
          <w:rFonts w:ascii="Arial" w:eastAsia="Arial" w:hAnsi="Arial" w:cs="Arial"/>
          <w:sz w:val="24"/>
          <w:szCs w:val="24"/>
        </w:rPr>
      </w:pPr>
    </w:p>
    <w:p w14:paraId="666E1976" w14:textId="77777777" w:rsidR="00F010E6" w:rsidRDefault="00F010E6">
      <w:pPr>
        <w:spacing w:after="0" w:line="360" w:lineRule="auto"/>
        <w:jc w:val="both"/>
        <w:rPr>
          <w:rFonts w:ascii="Arial" w:eastAsia="Arial" w:hAnsi="Arial" w:cs="Arial"/>
          <w:sz w:val="24"/>
          <w:szCs w:val="24"/>
        </w:rPr>
      </w:pPr>
    </w:p>
    <w:p w14:paraId="28D39FA8" w14:textId="77777777" w:rsidR="00F010E6" w:rsidRDefault="00F010E6">
      <w:pPr>
        <w:spacing w:after="0" w:line="360" w:lineRule="auto"/>
        <w:jc w:val="both"/>
        <w:rPr>
          <w:rFonts w:ascii="Arial" w:eastAsia="Arial" w:hAnsi="Arial" w:cs="Arial"/>
          <w:sz w:val="24"/>
          <w:szCs w:val="24"/>
        </w:rPr>
      </w:pPr>
    </w:p>
    <w:p w14:paraId="59A0B710" w14:textId="77777777" w:rsidR="00F010E6" w:rsidRDefault="00F010E6">
      <w:pPr>
        <w:spacing w:after="0" w:line="360" w:lineRule="auto"/>
        <w:jc w:val="both"/>
        <w:rPr>
          <w:rFonts w:ascii="Arial" w:eastAsia="Arial" w:hAnsi="Arial" w:cs="Arial"/>
          <w:sz w:val="24"/>
          <w:szCs w:val="24"/>
        </w:rPr>
      </w:pPr>
    </w:p>
    <w:p w14:paraId="059BC226" w14:textId="77777777" w:rsidR="00F010E6" w:rsidRDefault="00F010E6">
      <w:pPr>
        <w:spacing w:after="0" w:line="360" w:lineRule="auto"/>
        <w:jc w:val="both"/>
        <w:rPr>
          <w:rFonts w:ascii="Arial" w:eastAsia="Arial" w:hAnsi="Arial" w:cs="Arial"/>
          <w:sz w:val="24"/>
          <w:szCs w:val="24"/>
        </w:rPr>
      </w:pPr>
    </w:p>
    <w:p w14:paraId="4373DD68" w14:textId="77777777" w:rsidR="00F010E6" w:rsidRDefault="00F010E6">
      <w:pPr>
        <w:spacing w:after="0" w:line="360" w:lineRule="auto"/>
        <w:jc w:val="both"/>
        <w:rPr>
          <w:rFonts w:ascii="Arial" w:eastAsia="Arial" w:hAnsi="Arial" w:cs="Arial"/>
          <w:sz w:val="24"/>
          <w:szCs w:val="24"/>
        </w:rPr>
      </w:pPr>
    </w:p>
    <w:p w14:paraId="4F01C210" w14:textId="77777777" w:rsidR="00F010E6" w:rsidRDefault="00F010E6">
      <w:pPr>
        <w:numPr>
          <w:ilvl w:val="0"/>
          <w:numId w:val="5"/>
        </w:numPr>
        <w:spacing w:after="0" w:line="360" w:lineRule="auto"/>
        <w:jc w:val="both"/>
        <w:rPr>
          <w:rFonts w:ascii="Arial" w:eastAsia="Arial" w:hAnsi="Arial" w:cs="Arial"/>
          <w:sz w:val="24"/>
          <w:szCs w:val="24"/>
        </w:rPr>
      </w:pPr>
    </w:p>
    <w:tbl>
      <w:tblPr>
        <w:tblStyle w:val="a"/>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875"/>
        <w:gridCol w:w="2085"/>
        <w:gridCol w:w="2265"/>
        <w:gridCol w:w="2835"/>
      </w:tblGrid>
      <w:tr w:rsidR="00F010E6" w14:paraId="7BD3B31A" w14:textId="77777777">
        <w:trPr>
          <w:trHeight w:val="1226"/>
        </w:trPr>
        <w:tc>
          <w:tcPr>
            <w:tcW w:w="108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17EAD24"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Marco</w:t>
            </w:r>
          </w:p>
        </w:tc>
        <w:tc>
          <w:tcPr>
            <w:tcW w:w="187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3C502F0"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Origen</w:t>
            </w:r>
          </w:p>
        </w:tc>
        <w:tc>
          <w:tcPr>
            <w:tcW w:w="20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80E8840"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Evolución (resumen)</w:t>
            </w:r>
          </w:p>
        </w:tc>
        <w:tc>
          <w:tcPr>
            <w:tcW w:w="226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08E0200"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Objetivos principales</w:t>
            </w:r>
          </w:p>
        </w:tc>
        <w:tc>
          <w:tcPr>
            <w:tcW w:w="283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2EF927E"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Beneficios a la gestión de servicios TI</w:t>
            </w:r>
          </w:p>
        </w:tc>
      </w:tr>
      <w:tr w:rsidR="00F010E6" w14:paraId="63AFCE17" w14:textId="77777777">
        <w:trPr>
          <w:trHeight w:val="2351"/>
        </w:trPr>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8AE9A8"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ITIL</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32733B"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Nacido a finales de los 1980s</w:t>
            </w:r>
          </w:p>
        </w:tc>
        <w:tc>
          <w:tcPr>
            <w:tcW w:w="20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7B3D74"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Final de v2 y v3 (2007/2011) para mejorar la calidad de servicios TI</w:t>
            </w:r>
          </w:p>
        </w:tc>
        <w:tc>
          <w:tcPr>
            <w:tcW w:w="22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F16CA0"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Mejorar y operar en soporte de servicios TI a través de buenas </w:t>
            </w:r>
            <w:r>
              <w:rPr>
                <w:rFonts w:ascii="Arial" w:eastAsia="Arial" w:hAnsi="Arial" w:cs="Arial"/>
                <w:b/>
                <w:bCs/>
                <w:color w:val="1B1C1D"/>
              </w:rPr>
              <w:t>prácticas</w:t>
            </w:r>
            <w:r>
              <w:rPr>
                <w:rFonts w:ascii="Arial" w:eastAsia="Arial" w:hAnsi="Arial" w:cs="Arial"/>
                <w:color w:val="1B1C1D"/>
              </w:rPr>
              <w:t xml:space="preserve"> como </w:t>
            </w:r>
            <w:r>
              <w:rPr>
                <w:rFonts w:ascii="Arial" w:eastAsia="Arial" w:hAnsi="Arial" w:cs="Arial"/>
                <w:b/>
                <w:bCs/>
                <w:color w:val="1B1C1D"/>
              </w:rPr>
              <w:t>gestión</w:t>
            </w:r>
            <w:r>
              <w:rPr>
                <w:rFonts w:ascii="Arial" w:eastAsia="Arial" w:hAnsi="Arial" w:cs="Arial"/>
                <w:color w:val="1B1C1D"/>
              </w:rPr>
              <w:t xml:space="preserve"> de servicios</w:t>
            </w:r>
          </w:p>
        </w:tc>
        <w:tc>
          <w:tcPr>
            <w:tcW w:w="28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BE10CAA"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Mayor disponibilidad y calidad, mejor experiencia y </w:t>
            </w:r>
            <w:r>
              <w:rPr>
                <w:rFonts w:ascii="Arial" w:eastAsia="Arial" w:hAnsi="Arial" w:cs="Arial"/>
                <w:b/>
                <w:bCs/>
                <w:color w:val="1B1C1D"/>
              </w:rPr>
              <w:t>control</w:t>
            </w:r>
            <w:r>
              <w:rPr>
                <w:rFonts w:ascii="Arial" w:eastAsia="Arial" w:hAnsi="Arial" w:cs="Arial"/>
                <w:color w:val="1B1C1D"/>
              </w:rPr>
              <w:t xml:space="preserve"> , </w:t>
            </w:r>
            <w:r>
              <w:rPr>
                <w:rFonts w:ascii="Arial" w:eastAsia="Arial" w:hAnsi="Arial" w:cs="Arial"/>
                <w:b/>
                <w:bCs/>
                <w:color w:val="1B1C1D"/>
              </w:rPr>
              <w:t>riesgos</w:t>
            </w:r>
            <w:r>
              <w:rPr>
                <w:rFonts w:ascii="Arial" w:eastAsia="Arial" w:hAnsi="Arial" w:cs="Arial"/>
                <w:color w:val="1B1C1D"/>
              </w:rPr>
              <w:t xml:space="preserve"> en procesos para </w:t>
            </w:r>
            <w:r>
              <w:rPr>
                <w:rFonts w:ascii="Arial" w:eastAsia="Arial" w:hAnsi="Arial" w:cs="Arial"/>
                <w:b/>
                <w:bCs/>
                <w:color w:val="1B1C1D"/>
              </w:rPr>
              <w:t>operación</w:t>
            </w:r>
            <w:r>
              <w:rPr>
                <w:rFonts w:ascii="Arial" w:eastAsia="Arial" w:hAnsi="Arial" w:cs="Arial"/>
                <w:color w:val="1B1C1D"/>
              </w:rPr>
              <w:t xml:space="preserve"> y </w:t>
            </w:r>
            <w:r>
              <w:rPr>
                <w:rFonts w:ascii="Arial" w:eastAsia="Arial" w:hAnsi="Arial" w:cs="Arial"/>
                <w:b/>
                <w:bCs/>
                <w:color w:val="1B1C1D"/>
              </w:rPr>
              <w:t>mejora continua</w:t>
            </w:r>
          </w:p>
        </w:tc>
      </w:tr>
      <w:tr w:rsidR="00F010E6" w14:paraId="7B21FD0C" w14:textId="77777777">
        <w:trPr>
          <w:trHeight w:val="3075"/>
        </w:trPr>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823D9E"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COBIT</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82BA81"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Nacido por</w:t>
            </w:r>
            <w:r>
              <w:rPr>
                <w:rFonts w:ascii="Arial" w:eastAsia="Arial" w:hAnsi="Arial" w:cs="Arial"/>
                <w:color w:val="1B1C1D"/>
              </w:rPr>
              <w:t xml:space="preserve"> ISACA en 1996 y 1998</w:t>
            </w:r>
          </w:p>
        </w:tc>
        <w:tc>
          <w:tcPr>
            <w:tcW w:w="20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39B41E"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1996 </w:t>
            </w:r>
            <w:r>
              <w:rPr>
                <w:rFonts w:ascii="Arial" w:eastAsia="Arial" w:hAnsi="Arial" w:cs="Arial"/>
                <w:b/>
                <w:bCs/>
                <w:color w:val="1B1C1D"/>
              </w:rPr>
              <w:t>como un</w:t>
            </w:r>
            <w:r>
              <w:rPr>
                <w:rFonts w:ascii="Arial" w:eastAsia="Arial" w:hAnsi="Arial" w:cs="Arial"/>
                <w:color w:val="1B1C1D"/>
              </w:rPr>
              <w:t xml:space="preserve"> conjunto de objetivos de control para la </w:t>
            </w:r>
            <w:r>
              <w:rPr>
                <w:rFonts w:ascii="Arial" w:eastAsia="Arial" w:hAnsi="Arial" w:cs="Arial"/>
                <w:b/>
                <w:bCs/>
                <w:color w:val="1B1C1D"/>
              </w:rPr>
              <w:t>auditoría</w:t>
            </w:r>
            <w:r>
              <w:rPr>
                <w:rFonts w:ascii="Arial" w:eastAsia="Arial" w:hAnsi="Arial" w:cs="Arial"/>
                <w:color w:val="1B1C1D"/>
              </w:rPr>
              <w:t xml:space="preserve"> de TI. Servicio de </w:t>
            </w:r>
            <w:r>
              <w:rPr>
                <w:rFonts w:ascii="Arial" w:eastAsia="Arial" w:hAnsi="Arial" w:cs="Arial"/>
                <w:b/>
                <w:bCs/>
                <w:color w:val="1B1C1D"/>
              </w:rPr>
              <w:t>marcos de gestión</w:t>
            </w:r>
            <w:r>
              <w:rPr>
                <w:rFonts w:ascii="Arial" w:eastAsia="Arial" w:hAnsi="Arial" w:cs="Arial"/>
                <w:color w:val="1B1C1D"/>
              </w:rPr>
              <w:t xml:space="preserve"> .</w:t>
            </w:r>
          </w:p>
        </w:tc>
        <w:tc>
          <w:tcPr>
            <w:tcW w:w="22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BFA0CA"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Asegurar gobernanza y </w:t>
            </w:r>
            <w:r>
              <w:rPr>
                <w:rFonts w:ascii="Arial" w:eastAsia="Arial" w:hAnsi="Arial" w:cs="Arial"/>
                <w:b/>
                <w:bCs/>
                <w:color w:val="1B1C1D"/>
              </w:rPr>
              <w:t>alineación</w:t>
            </w:r>
            <w:r>
              <w:rPr>
                <w:rFonts w:ascii="Arial" w:eastAsia="Arial" w:hAnsi="Arial" w:cs="Arial"/>
                <w:color w:val="1B1C1D"/>
              </w:rPr>
              <w:t xml:space="preserve"> de TI- </w:t>
            </w:r>
            <w:proofErr w:type="gramStart"/>
            <w:r>
              <w:rPr>
                <w:rFonts w:ascii="Arial" w:eastAsia="Arial" w:hAnsi="Arial" w:cs="Arial"/>
                <w:b/>
                <w:bCs/>
                <w:color w:val="1B1C1D"/>
              </w:rPr>
              <w:t>negocio</w:t>
            </w:r>
            <w:r>
              <w:rPr>
                <w:rFonts w:ascii="Arial" w:eastAsia="Arial" w:hAnsi="Arial" w:cs="Arial"/>
                <w:color w:val="1B1C1D"/>
              </w:rPr>
              <w:t xml:space="preserve"> .</w:t>
            </w:r>
            <w:proofErr w:type="gramEnd"/>
            <w:r>
              <w:rPr>
                <w:rFonts w:ascii="Arial" w:eastAsia="Arial" w:hAnsi="Arial" w:cs="Arial"/>
                <w:color w:val="1B1C1D"/>
              </w:rPr>
              <w:t xml:space="preserve"> </w:t>
            </w:r>
            <w:r>
              <w:rPr>
                <w:rFonts w:ascii="Arial" w:eastAsia="Arial" w:hAnsi="Arial" w:cs="Arial"/>
                <w:b/>
                <w:bCs/>
                <w:color w:val="1B1C1D"/>
              </w:rPr>
              <w:t>Gestión</w:t>
            </w:r>
            <w:r>
              <w:rPr>
                <w:rFonts w:ascii="Arial" w:eastAsia="Arial" w:hAnsi="Arial" w:cs="Arial"/>
                <w:color w:val="1B1C1D"/>
              </w:rPr>
              <w:t xml:space="preserve"> de </w:t>
            </w:r>
            <w:r>
              <w:rPr>
                <w:rFonts w:ascii="Arial" w:eastAsia="Arial" w:hAnsi="Arial" w:cs="Arial"/>
                <w:b/>
                <w:bCs/>
                <w:color w:val="1B1C1D"/>
              </w:rPr>
              <w:t>métricas</w:t>
            </w:r>
            <w:r>
              <w:rPr>
                <w:rFonts w:ascii="Arial" w:eastAsia="Arial" w:hAnsi="Arial" w:cs="Arial"/>
                <w:color w:val="1B1C1D"/>
              </w:rPr>
              <w:t xml:space="preserve"> para </w:t>
            </w:r>
            <w:r>
              <w:rPr>
                <w:rFonts w:ascii="Arial" w:eastAsia="Arial" w:hAnsi="Arial" w:cs="Arial"/>
                <w:b/>
                <w:bCs/>
                <w:color w:val="1B1C1D"/>
              </w:rPr>
              <w:t>riesgo</w:t>
            </w:r>
            <w:r>
              <w:rPr>
                <w:rFonts w:ascii="Arial" w:eastAsia="Arial" w:hAnsi="Arial" w:cs="Arial"/>
                <w:color w:val="1B1C1D"/>
              </w:rPr>
              <w:t xml:space="preserve"> .</w:t>
            </w:r>
          </w:p>
        </w:tc>
        <w:tc>
          <w:tcPr>
            <w:tcW w:w="28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884091"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Fortalece</w:t>
            </w:r>
            <w:r>
              <w:rPr>
                <w:rFonts w:ascii="Arial" w:eastAsia="Arial" w:hAnsi="Arial" w:cs="Arial"/>
                <w:color w:val="1B1C1D"/>
              </w:rPr>
              <w:t xml:space="preserve"> gobernanza, transparencia, control, cumplimiento con requisitos </w:t>
            </w:r>
            <w:r>
              <w:rPr>
                <w:rFonts w:ascii="Arial" w:eastAsia="Arial" w:hAnsi="Arial" w:cs="Arial"/>
                <w:b/>
                <w:bCs/>
                <w:color w:val="1B1C1D"/>
              </w:rPr>
              <w:t>regulatorios</w:t>
            </w:r>
            <w:r>
              <w:rPr>
                <w:rFonts w:ascii="Arial" w:eastAsia="Arial" w:hAnsi="Arial" w:cs="Arial"/>
                <w:color w:val="1B1C1D"/>
              </w:rPr>
              <w:t xml:space="preserve"> .</w:t>
            </w:r>
          </w:p>
        </w:tc>
      </w:tr>
      <w:tr w:rsidR="00F010E6" w14:paraId="68DDD3EF" w14:textId="77777777">
        <w:trPr>
          <w:trHeight w:val="2790"/>
        </w:trPr>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F5B7A8"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ISO/IEC 20000</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A93A371"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BS 15000 2005</w:t>
            </w:r>
          </w:p>
        </w:tc>
        <w:tc>
          <w:tcPr>
            <w:tcW w:w="20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F1DFBE"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Norma </w:t>
            </w:r>
            <w:r>
              <w:rPr>
                <w:rFonts w:ascii="Arial" w:eastAsia="Arial" w:hAnsi="Arial" w:cs="Arial"/>
                <w:b/>
                <w:bCs/>
                <w:color w:val="1B1C1D"/>
              </w:rPr>
              <w:t>internacional</w:t>
            </w:r>
            <w:r>
              <w:rPr>
                <w:rFonts w:ascii="Arial" w:eastAsia="Arial" w:hAnsi="Arial" w:cs="Arial"/>
                <w:color w:val="1B1C1D"/>
              </w:rPr>
              <w:t xml:space="preserve"> [texto corrupto] con </w:t>
            </w:r>
            <w:r>
              <w:rPr>
                <w:rFonts w:ascii="Arial" w:eastAsia="Arial" w:hAnsi="Arial" w:cs="Arial"/>
                <w:b/>
                <w:bCs/>
                <w:color w:val="1B1C1D"/>
              </w:rPr>
              <w:t>requerimientos</w:t>
            </w:r>
            <w:r>
              <w:rPr>
                <w:rFonts w:ascii="Arial" w:eastAsia="Arial" w:hAnsi="Arial" w:cs="Arial"/>
                <w:color w:val="1B1C1D"/>
              </w:rPr>
              <w:t xml:space="preserve"> y mejoras </w:t>
            </w:r>
            <w:r>
              <w:rPr>
                <w:rFonts w:ascii="Arial" w:eastAsia="Arial" w:hAnsi="Arial" w:cs="Arial"/>
                <w:b/>
                <w:bCs/>
                <w:color w:val="1B1C1D"/>
              </w:rPr>
              <w:t>prácticas</w:t>
            </w:r>
            <w:r>
              <w:rPr>
                <w:rFonts w:ascii="Arial" w:eastAsia="Arial" w:hAnsi="Arial" w:cs="Arial"/>
                <w:color w:val="1B1C1D"/>
              </w:rPr>
              <w:t xml:space="preserve"> con otras </w:t>
            </w:r>
            <w:r>
              <w:rPr>
                <w:rFonts w:ascii="Arial" w:eastAsia="Arial" w:hAnsi="Arial" w:cs="Arial"/>
                <w:b/>
                <w:bCs/>
                <w:color w:val="1B1C1D"/>
              </w:rPr>
              <w:t>normas</w:t>
            </w:r>
            <w:r>
              <w:rPr>
                <w:rFonts w:ascii="Arial" w:eastAsia="Arial" w:hAnsi="Arial" w:cs="Arial"/>
                <w:color w:val="1B1C1D"/>
              </w:rPr>
              <w:t xml:space="preserve"> .</w:t>
            </w:r>
          </w:p>
        </w:tc>
        <w:tc>
          <w:tcPr>
            <w:tcW w:w="22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62176FB"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Definir requisitos para un </w:t>
            </w:r>
            <w:r>
              <w:rPr>
                <w:rFonts w:ascii="Arial" w:eastAsia="Arial" w:hAnsi="Arial" w:cs="Arial"/>
                <w:b/>
                <w:bCs/>
                <w:color w:val="1B1C1D"/>
              </w:rPr>
              <w:t>Sistema</w:t>
            </w:r>
            <w:r>
              <w:rPr>
                <w:rFonts w:ascii="Arial" w:eastAsia="Arial" w:hAnsi="Arial" w:cs="Arial"/>
                <w:color w:val="1B1C1D"/>
              </w:rPr>
              <w:t xml:space="preserve"> de </w:t>
            </w:r>
            <w:r>
              <w:rPr>
                <w:rFonts w:ascii="Arial" w:eastAsia="Arial" w:hAnsi="Arial" w:cs="Arial"/>
                <w:b/>
                <w:bCs/>
                <w:color w:val="1B1C1D"/>
              </w:rPr>
              <w:t>Gestión</w:t>
            </w:r>
            <w:r>
              <w:rPr>
                <w:rFonts w:ascii="Arial" w:eastAsia="Arial" w:hAnsi="Arial" w:cs="Arial"/>
                <w:color w:val="1B1C1D"/>
              </w:rPr>
              <w:t xml:space="preserve"> de </w:t>
            </w:r>
            <w:r>
              <w:rPr>
                <w:rFonts w:ascii="Arial" w:eastAsia="Arial" w:hAnsi="Arial" w:cs="Arial"/>
                <w:b/>
                <w:bCs/>
                <w:color w:val="1B1C1D"/>
              </w:rPr>
              <w:t>Servicios</w:t>
            </w:r>
            <w:r>
              <w:rPr>
                <w:rFonts w:ascii="Arial" w:eastAsia="Arial" w:hAnsi="Arial" w:cs="Arial"/>
                <w:color w:val="1B1C1D"/>
              </w:rPr>
              <w:t xml:space="preserve"> (SGS). Política, procesos.</w:t>
            </w:r>
          </w:p>
        </w:tc>
        <w:tc>
          <w:tcPr>
            <w:tcW w:w="28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CDE57DF"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Certificación</w:t>
            </w:r>
            <w:r>
              <w:rPr>
                <w:rFonts w:ascii="Arial" w:eastAsia="Arial" w:hAnsi="Arial" w:cs="Arial"/>
                <w:color w:val="1B1C1D"/>
              </w:rPr>
              <w:t xml:space="preserve"> , evidencia formal de </w:t>
            </w:r>
            <w:r>
              <w:rPr>
                <w:rFonts w:ascii="Arial" w:eastAsia="Arial" w:hAnsi="Arial" w:cs="Arial"/>
                <w:b/>
                <w:bCs/>
                <w:color w:val="1B1C1D"/>
              </w:rPr>
              <w:t>gestión</w:t>
            </w:r>
            <w:r>
              <w:rPr>
                <w:rFonts w:ascii="Arial" w:eastAsia="Arial" w:hAnsi="Arial" w:cs="Arial"/>
                <w:color w:val="1B1C1D"/>
              </w:rPr>
              <w:t xml:space="preserve"> de servicios, </w:t>
            </w:r>
            <w:r>
              <w:rPr>
                <w:rFonts w:ascii="Arial" w:eastAsia="Arial" w:hAnsi="Arial" w:cs="Arial"/>
                <w:b/>
                <w:bCs/>
                <w:color w:val="1B1C1D"/>
              </w:rPr>
              <w:t>estandarización</w:t>
            </w:r>
            <w:r>
              <w:rPr>
                <w:rFonts w:ascii="Arial" w:eastAsia="Arial" w:hAnsi="Arial" w:cs="Arial"/>
                <w:color w:val="1B1C1D"/>
              </w:rPr>
              <w:t xml:space="preserve"> y mejora de la </w:t>
            </w:r>
            <w:r>
              <w:rPr>
                <w:rFonts w:ascii="Arial" w:eastAsia="Arial" w:hAnsi="Arial" w:cs="Arial"/>
                <w:b/>
                <w:bCs/>
                <w:color w:val="1B1C1D"/>
              </w:rPr>
              <w:t>confianza</w:t>
            </w:r>
            <w:r>
              <w:rPr>
                <w:rFonts w:ascii="Arial" w:eastAsia="Arial" w:hAnsi="Arial" w:cs="Arial"/>
                <w:color w:val="1B1C1D"/>
              </w:rPr>
              <w:t xml:space="preserve"> .</w:t>
            </w:r>
          </w:p>
        </w:tc>
      </w:tr>
      <w:tr w:rsidR="00F010E6" w14:paraId="247B69AB" w14:textId="77777777">
        <w:trPr>
          <w:trHeight w:val="2657"/>
        </w:trPr>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18746F"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lastRenderedPageBreak/>
              <w:t>CMMI</w:t>
            </w:r>
          </w:p>
        </w:tc>
        <w:tc>
          <w:tcPr>
            <w:tcW w:w="18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377C6C" w14:textId="77777777" w:rsidR="00F010E6" w:rsidRDefault="00313257">
            <w:pPr>
              <w:spacing w:after="480" w:line="276" w:lineRule="auto"/>
              <w:jc w:val="both"/>
              <w:rPr>
                <w:rFonts w:ascii="Arial" w:eastAsia="Arial" w:hAnsi="Arial" w:cs="Arial"/>
                <w:color w:val="1B1C1D"/>
              </w:rPr>
            </w:pPr>
            <w:r>
              <w:rPr>
                <w:rFonts w:ascii="Arial" w:eastAsia="Arial" w:hAnsi="Arial" w:cs="Arial"/>
                <w:b/>
                <w:bCs/>
                <w:color w:val="1B1C1D"/>
              </w:rPr>
              <w:t>Integración del modelo</w:t>
            </w:r>
            <w:r>
              <w:rPr>
                <w:rFonts w:ascii="Arial" w:eastAsia="Arial" w:hAnsi="Arial" w:cs="Arial"/>
                <w:color w:val="1B1C1D"/>
              </w:rPr>
              <w:t xml:space="preserve"> de madurez de capacidades</w:t>
            </w:r>
          </w:p>
        </w:tc>
        <w:tc>
          <w:tcPr>
            <w:tcW w:w="20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AD1A9E"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Integra </w:t>
            </w:r>
            <w:r>
              <w:rPr>
                <w:rFonts w:ascii="Arial" w:eastAsia="Arial" w:hAnsi="Arial" w:cs="Arial"/>
                <w:b/>
                <w:bCs/>
                <w:color w:val="1B1C1D"/>
              </w:rPr>
              <w:t>múltiples</w:t>
            </w:r>
            <w:r>
              <w:rPr>
                <w:rFonts w:ascii="Arial Unicode MS" w:eastAsia="Arial Unicode MS" w:hAnsi="Arial Unicode MS" w:cs="Arial Unicode MS"/>
                <w:color w:val="1B1C1D"/>
              </w:rPr>
              <w:t xml:space="preserve"> modelos en uno (CMM → CMMI), publicado como modelo para evaluar y mejorar la </w:t>
            </w:r>
            <w:r>
              <w:rPr>
                <w:rFonts w:ascii="Arial" w:eastAsia="Arial" w:hAnsi="Arial" w:cs="Arial"/>
                <w:b/>
                <w:bCs/>
                <w:color w:val="1B1C1D"/>
              </w:rPr>
              <w:t>madurez</w:t>
            </w:r>
            <w:r>
              <w:rPr>
                <w:rFonts w:ascii="Arial" w:eastAsia="Arial" w:hAnsi="Arial" w:cs="Arial"/>
                <w:color w:val="1B1C1D"/>
              </w:rPr>
              <w:t xml:space="preserve"> de </w:t>
            </w:r>
            <w:r>
              <w:rPr>
                <w:rFonts w:ascii="Arial" w:eastAsia="Arial" w:hAnsi="Arial" w:cs="Arial"/>
                <w:b/>
                <w:bCs/>
                <w:color w:val="1B1C1D"/>
              </w:rPr>
              <w:t>procesos</w:t>
            </w:r>
            <w:r>
              <w:rPr>
                <w:rFonts w:ascii="Arial" w:eastAsia="Arial" w:hAnsi="Arial" w:cs="Arial"/>
                <w:color w:val="1B1C1D"/>
              </w:rPr>
              <w:t xml:space="preserve"> .</w:t>
            </w:r>
          </w:p>
        </w:tc>
        <w:tc>
          <w:tcPr>
            <w:tcW w:w="22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E30201"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Evaluar y mejorar la madurez de procesos. Definir niveles de madurez.</w:t>
            </w:r>
          </w:p>
        </w:tc>
        <w:tc>
          <w:tcPr>
            <w:tcW w:w="28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D0BBB3" w14:textId="77777777" w:rsidR="00F010E6" w:rsidRDefault="00313257">
            <w:pPr>
              <w:spacing w:after="480" w:line="276" w:lineRule="auto"/>
              <w:jc w:val="both"/>
              <w:rPr>
                <w:rFonts w:ascii="Arial" w:eastAsia="Arial" w:hAnsi="Arial" w:cs="Arial"/>
                <w:color w:val="1B1C1D"/>
              </w:rPr>
            </w:pPr>
            <w:r>
              <w:rPr>
                <w:rFonts w:ascii="Arial" w:eastAsia="Arial" w:hAnsi="Arial" w:cs="Arial"/>
                <w:color w:val="1B1C1D"/>
              </w:rPr>
              <w:t xml:space="preserve">Mejorar </w:t>
            </w:r>
            <w:r>
              <w:rPr>
                <w:rFonts w:ascii="Arial" w:eastAsia="Arial" w:hAnsi="Arial" w:cs="Arial"/>
                <w:b/>
                <w:bCs/>
                <w:color w:val="1B1C1D"/>
              </w:rPr>
              <w:t>la</w:t>
            </w:r>
            <w:r>
              <w:rPr>
                <w:rFonts w:ascii="Arial" w:eastAsia="Arial" w:hAnsi="Arial" w:cs="Arial"/>
                <w:color w:val="1B1C1D"/>
              </w:rPr>
              <w:t xml:space="preserve"> calidad de procesos, reducir variabilidad, obtener </w:t>
            </w:r>
            <w:r>
              <w:rPr>
                <w:rFonts w:ascii="Arial" w:eastAsia="Arial" w:hAnsi="Arial" w:cs="Arial"/>
                <w:b/>
                <w:bCs/>
                <w:color w:val="1B1C1D"/>
              </w:rPr>
              <w:t>comparativas</w:t>
            </w:r>
            <w:r>
              <w:rPr>
                <w:rFonts w:ascii="Arial" w:eastAsia="Arial" w:hAnsi="Arial" w:cs="Arial"/>
                <w:color w:val="1B1C1D"/>
              </w:rPr>
              <w:t xml:space="preserve"> (benchmarking).</w:t>
            </w:r>
          </w:p>
          <w:p w14:paraId="41BDABFA" w14:textId="77777777" w:rsidR="00F010E6" w:rsidRDefault="00F010E6">
            <w:pPr>
              <w:spacing w:after="480" w:line="276" w:lineRule="auto"/>
              <w:jc w:val="both"/>
              <w:rPr>
                <w:rFonts w:ascii="Arial" w:eastAsia="Arial" w:hAnsi="Arial" w:cs="Arial"/>
                <w:color w:val="1B1C1D"/>
              </w:rPr>
            </w:pPr>
          </w:p>
        </w:tc>
      </w:tr>
    </w:tbl>
    <w:p w14:paraId="2D91826A" w14:textId="77777777" w:rsidR="00F010E6" w:rsidRDefault="00F010E6">
      <w:pPr>
        <w:spacing w:after="0" w:line="360" w:lineRule="auto"/>
        <w:jc w:val="both"/>
        <w:rPr>
          <w:rFonts w:ascii="Arial" w:eastAsia="Arial" w:hAnsi="Arial" w:cs="Arial"/>
          <w:sz w:val="24"/>
          <w:szCs w:val="24"/>
        </w:rPr>
      </w:pPr>
    </w:p>
    <w:p w14:paraId="4244E650" w14:textId="77777777" w:rsidR="00F010E6" w:rsidRDefault="00F010E6">
      <w:pPr>
        <w:spacing w:after="0" w:line="360" w:lineRule="auto"/>
        <w:jc w:val="both"/>
        <w:rPr>
          <w:rFonts w:ascii="Arial" w:eastAsia="Arial" w:hAnsi="Arial" w:cs="Arial"/>
          <w:sz w:val="24"/>
          <w:szCs w:val="24"/>
        </w:rPr>
      </w:pPr>
    </w:p>
    <w:p w14:paraId="684461AD" w14:textId="77777777" w:rsidR="00F010E6" w:rsidRDefault="00313257">
      <w:pPr>
        <w:spacing w:line="360" w:lineRule="auto"/>
        <w:jc w:val="both"/>
        <w:rPr>
          <w:b/>
          <w:bCs/>
          <w:sz w:val="30"/>
          <w:szCs w:val="30"/>
        </w:rPr>
      </w:pPr>
      <w:r>
        <w:rPr>
          <w:b/>
          <w:bCs/>
          <w:sz w:val="30"/>
          <w:szCs w:val="30"/>
        </w:rPr>
        <w:t>Cómo se complementan para mejorar calidad, gobernanza y eficiencia</w:t>
      </w:r>
    </w:p>
    <w:p w14:paraId="22642927" w14:textId="77777777" w:rsidR="00F010E6" w:rsidRDefault="00313257">
      <w:pPr>
        <w:numPr>
          <w:ilvl w:val="0"/>
          <w:numId w:val="3"/>
        </w:numPr>
        <w:spacing w:before="240" w:after="0" w:line="360" w:lineRule="auto"/>
        <w:rPr>
          <w:rFonts w:ascii="Arial" w:eastAsia="Arial" w:hAnsi="Arial" w:cs="Arial"/>
          <w:sz w:val="24"/>
          <w:szCs w:val="24"/>
        </w:rPr>
      </w:pPr>
      <w:r>
        <w:rPr>
          <w:rFonts w:ascii="Arial" w:eastAsia="Arial" w:hAnsi="Arial" w:cs="Arial"/>
          <w:b/>
          <w:bCs/>
          <w:sz w:val="24"/>
          <w:szCs w:val="24"/>
        </w:rPr>
        <w:t>Gobernanza + Gestión + Certificación + Madurez = Ecosistema completo</w:t>
      </w:r>
      <w:r>
        <w:rPr>
          <w:rFonts w:ascii="Arial" w:eastAsia="Arial" w:hAnsi="Arial" w:cs="Arial"/>
          <w:b/>
          <w:bCs/>
          <w:sz w:val="24"/>
          <w:szCs w:val="24"/>
        </w:rPr>
        <w:br/>
      </w:r>
    </w:p>
    <w:p w14:paraId="778B87F1" w14:textId="77777777" w:rsidR="00F010E6" w:rsidRDefault="00313257">
      <w:pPr>
        <w:numPr>
          <w:ilvl w:val="1"/>
          <w:numId w:val="3"/>
        </w:numPr>
        <w:spacing w:after="0" w:line="360" w:lineRule="auto"/>
        <w:rPr>
          <w:rFonts w:ascii="Arial" w:eastAsia="Arial" w:hAnsi="Arial" w:cs="Arial"/>
          <w:sz w:val="24"/>
          <w:szCs w:val="24"/>
        </w:rPr>
      </w:pPr>
      <w:r>
        <w:rPr>
          <w:rFonts w:ascii="Arial" w:eastAsia="Arial" w:hAnsi="Arial" w:cs="Arial"/>
          <w:b/>
          <w:bCs/>
          <w:sz w:val="24"/>
          <w:szCs w:val="24"/>
        </w:rPr>
        <w:t>COBIT</w:t>
      </w:r>
      <w:r>
        <w:rPr>
          <w:rFonts w:ascii="Arial" w:eastAsia="Arial" w:hAnsi="Arial" w:cs="Arial"/>
          <w:sz w:val="24"/>
          <w:szCs w:val="24"/>
        </w:rPr>
        <w:t xml:space="preserve"> establece el </w:t>
      </w:r>
      <w:r>
        <w:rPr>
          <w:rFonts w:ascii="Arial" w:eastAsia="Arial" w:hAnsi="Arial" w:cs="Arial"/>
          <w:i/>
          <w:iCs/>
          <w:sz w:val="24"/>
          <w:szCs w:val="24"/>
        </w:rPr>
        <w:t>qué</w:t>
      </w:r>
      <w:r>
        <w:rPr>
          <w:rFonts w:ascii="Arial" w:eastAsia="Arial" w:hAnsi="Arial" w:cs="Arial"/>
          <w:sz w:val="24"/>
          <w:szCs w:val="24"/>
        </w:rPr>
        <w:t xml:space="preserve"> gobernar: objetivos, métricas y responsabilidades (gobernanza TI y alineación con negocio). Esto define prioridades y controles.</w:t>
      </w:r>
    </w:p>
    <w:p w14:paraId="3EEB3365" w14:textId="77777777" w:rsidR="00F010E6" w:rsidRDefault="00313257">
      <w:pPr>
        <w:numPr>
          <w:ilvl w:val="1"/>
          <w:numId w:val="3"/>
        </w:numPr>
        <w:spacing w:after="0" w:line="360" w:lineRule="auto"/>
        <w:rPr>
          <w:rFonts w:ascii="Arial" w:eastAsia="Arial" w:hAnsi="Arial" w:cs="Arial"/>
          <w:sz w:val="24"/>
          <w:szCs w:val="24"/>
        </w:rPr>
      </w:pPr>
      <w:r>
        <w:rPr>
          <w:rFonts w:ascii="Arial" w:eastAsia="Arial" w:hAnsi="Arial" w:cs="Arial"/>
          <w:b/>
          <w:bCs/>
          <w:sz w:val="24"/>
          <w:szCs w:val="24"/>
        </w:rPr>
        <w:t>ITIL</w:t>
      </w:r>
      <w:r>
        <w:rPr>
          <w:rFonts w:ascii="Arial" w:eastAsia="Arial" w:hAnsi="Arial" w:cs="Arial"/>
          <w:sz w:val="24"/>
          <w:szCs w:val="24"/>
        </w:rPr>
        <w:t xml:space="preserve"> pone el </w:t>
      </w:r>
      <w:r>
        <w:rPr>
          <w:rFonts w:ascii="Arial" w:eastAsia="Arial" w:hAnsi="Arial" w:cs="Arial"/>
          <w:i/>
          <w:iCs/>
          <w:sz w:val="24"/>
          <w:szCs w:val="24"/>
        </w:rPr>
        <w:t>cómo</w:t>
      </w:r>
      <w:r>
        <w:rPr>
          <w:rFonts w:ascii="Arial" w:eastAsia="Arial" w:hAnsi="Arial" w:cs="Arial"/>
          <w:sz w:val="24"/>
          <w:szCs w:val="24"/>
        </w:rPr>
        <w:t xml:space="preserve"> en términos operativos: prácticas para diseñar, entregar y soportar servicios (incidentes, cambios, catálogo, </w:t>
      </w:r>
      <w:proofErr w:type="spellStart"/>
      <w:r>
        <w:rPr>
          <w:rFonts w:ascii="Arial" w:eastAsia="Arial" w:hAnsi="Arial" w:cs="Arial"/>
          <w:sz w:val="24"/>
          <w:szCs w:val="24"/>
        </w:rPr>
        <w:t>SLAs</w:t>
      </w:r>
      <w:proofErr w:type="spellEnd"/>
      <w:r>
        <w:rPr>
          <w:rFonts w:ascii="Arial" w:eastAsia="Arial" w:hAnsi="Arial" w:cs="Arial"/>
          <w:sz w:val="24"/>
          <w:szCs w:val="24"/>
        </w:rPr>
        <w:t>). Permite ejecutar la gestión diaria con buenas prácticas.</w:t>
      </w:r>
      <w:hyperlink r:id="rId10">
        <w:r>
          <w:rPr>
            <w:rFonts w:ascii="Arial" w:eastAsia="Arial" w:hAnsi="Arial" w:cs="Arial"/>
            <w:sz w:val="24"/>
            <w:szCs w:val="24"/>
          </w:rPr>
          <w:t xml:space="preserve"> </w:t>
        </w:r>
      </w:hyperlink>
    </w:p>
    <w:p w14:paraId="601F737F" w14:textId="77777777" w:rsidR="00F010E6" w:rsidRDefault="00313257">
      <w:pPr>
        <w:numPr>
          <w:ilvl w:val="1"/>
          <w:numId w:val="3"/>
        </w:numPr>
        <w:spacing w:after="0" w:line="360" w:lineRule="auto"/>
        <w:rPr>
          <w:rFonts w:ascii="Arial" w:eastAsia="Arial" w:hAnsi="Arial" w:cs="Arial"/>
          <w:sz w:val="24"/>
          <w:szCs w:val="24"/>
        </w:rPr>
      </w:pPr>
      <w:r>
        <w:rPr>
          <w:rFonts w:ascii="Arial" w:eastAsia="Arial" w:hAnsi="Arial" w:cs="Arial"/>
          <w:b/>
          <w:bCs/>
          <w:sz w:val="24"/>
          <w:szCs w:val="24"/>
        </w:rPr>
        <w:t>ISO/IEC 20000</w:t>
      </w:r>
      <w:r>
        <w:rPr>
          <w:rFonts w:ascii="Arial" w:eastAsia="Arial" w:hAnsi="Arial" w:cs="Arial"/>
          <w:sz w:val="24"/>
          <w:szCs w:val="24"/>
        </w:rPr>
        <w:t xml:space="preserve"> proporciona el </w:t>
      </w:r>
      <w:r>
        <w:rPr>
          <w:rFonts w:ascii="Arial" w:eastAsia="Arial" w:hAnsi="Arial" w:cs="Arial"/>
          <w:i/>
          <w:iCs/>
          <w:sz w:val="24"/>
          <w:szCs w:val="24"/>
        </w:rPr>
        <w:t>marco certificado</w:t>
      </w:r>
      <w:r>
        <w:rPr>
          <w:rFonts w:ascii="Arial" w:eastAsia="Arial" w:hAnsi="Arial" w:cs="Arial"/>
          <w:sz w:val="24"/>
          <w:szCs w:val="24"/>
        </w:rPr>
        <w:t xml:space="preserve"> para demostrar que un SMS cumple requisitos definidos; formaliza procesos y evidencia.</w:t>
      </w:r>
    </w:p>
    <w:p w14:paraId="319EA5C1" w14:textId="77777777" w:rsidR="00F010E6" w:rsidRDefault="00313257">
      <w:pPr>
        <w:numPr>
          <w:ilvl w:val="1"/>
          <w:numId w:val="3"/>
        </w:numPr>
        <w:spacing w:after="240" w:line="360" w:lineRule="auto"/>
        <w:rPr>
          <w:rFonts w:ascii="Arial" w:eastAsia="Arial" w:hAnsi="Arial" w:cs="Arial"/>
          <w:sz w:val="24"/>
          <w:szCs w:val="24"/>
        </w:rPr>
      </w:pPr>
      <w:r>
        <w:rPr>
          <w:rFonts w:ascii="Arial" w:eastAsia="Arial" w:hAnsi="Arial" w:cs="Arial"/>
          <w:b/>
          <w:bCs/>
          <w:sz w:val="24"/>
          <w:szCs w:val="24"/>
        </w:rPr>
        <w:t>CMMI</w:t>
      </w:r>
      <w:r>
        <w:rPr>
          <w:rFonts w:ascii="Arial" w:eastAsia="Arial" w:hAnsi="Arial" w:cs="Arial"/>
          <w:sz w:val="24"/>
          <w:szCs w:val="24"/>
        </w:rPr>
        <w:t xml:space="preserve"> mide y guía la </w:t>
      </w:r>
      <w:r>
        <w:rPr>
          <w:rFonts w:ascii="Arial" w:eastAsia="Arial" w:hAnsi="Arial" w:cs="Arial"/>
          <w:i/>
          <w:iCs/>
          <w:sz w:val="24"/>
          <w:szCs w:val="24"/>
        </w:rPr>
        <w:t>madurez</w:t>
      </w:r>
      <w:r>
        <w:rPr>
          <w:rFonts w:ascii="Arial" w:eastAsia="Arial" w:hAnsi="Arial" w:cs="Arial"/>
          <w:sz w:val="24"/>
          <w:szCs w:val="24"/>
        </w:rPr>
        <w:t xml:space="preserve"> de los procesos; ayuda a priorizar iniciativas de mejora y a demostrar evolución en capacidad de entrega.</w:t>
      </w:r>
    </w:p>
    <w:p w14:paraId="2E49B60E" w14:textId="77777777" w:rsidR="00F010E6" w:rsidRDefault="00F010E6">
      <w:pPr>
        <w:spacing w:before="240" w:after="240" w:line="360" w:lineRule="auto"/>
        <w:ind w:left="1440"/>
        <w:rPr>
          <w:rFonts w:ascii="Arial" w:eastAsia="Arial" w:hAnsi="Arial" w:cs="Arial"/>
          <w:sz w:val="24"/>
          <w:szCs w:val="24"/>
        </w:rPr>
      </w:pPr>
    </w:p>
    <w:p w14:paraId="5CDA01DD" w14:textId="77777777" w:rsidR="00F010E6" w:rsidRDefault="00F010E6">
      <w:pPr>
        <w:spacing w:before="240" w:after="240" w:line="360" w:lineRule="auto"/>
        <w:ind w:left="1440"/>
        <w:rPr>
          <w:rFonts w:ascii="Arial" w:eastAsia="Arial" w:hAnsi="Arial" w:cs="Arial"/>
          <w:sz w:val="24"/>
          <w:szCs w:val="24"/>
        </w:rPr>
      </w:pPr>
    </w:p>
    <w:p w14:paraId="32865FC4" w14:textId="77777777" w:rsidR="00F010E6" w:rsidRDefault="00F010E6">
      <w:pPr>
        <w:spacing w:before="240" w:after="240" w:line="360" w:lineRule="auto"/>
        <w:ind w:left="1440"/>
        <w:rPr>
          <w:rFonts w:ascii="Arial" w:eastAsia="Arial" w:hAnsi="Arial" w:cs="Arial"/>
          <w:sz w:val="24"/>
          <w:szCs w:val="24"/>
        </w:rPr>
      </w:pPr>
    </w:p>
    <w:p w14:paraId="6814ABEE" w14:textId="77777777" w:rsidR="00F010E6" w:rsidRDefault="00313257">
      <w:pPr>
        <w:numPr>
          <w:ilvl w:val="0"/>
          <w:numId w:val="3"/>
        </w:numPr>
        <w:spacing w:before="240" w:after="0" w:line="360" w:lineRule="auto"/>
        <w:rPr>
          <w:rFonts w:ascii="Arial" w:eastAsia="Arial" w:hAnsi="Arial" w:cs="Arial"/>
          <w:sz w:val="24"/>
          <w:szCs w:val="24"/>
        </w:rPr>
      </w:pPr>
      <w:r>
        <w:rPr>
          <w:rFonts w:ascii="Arial" w:eastAsia="Arial" w:hAnsi="Arial" w:cs="Arial"/>
          <w:b/>
          <w:bCs/>
          <w:sz w:val="24"/>
          <w:szCs w:val="24"/>
        </w:rPr>
        <w:lastRenderedPageBreak/>
        <w:t>Beneficios combinados</w:t>
      </w:r>
      <w:r>
        <w:rPr>
          <w:rFonts w:ascii="Arial" w:eastAsia="Arial" w:hAnsi="Arial" w:cs="Arial"/>
          <w:b/>
          <w:bCs/>
          <w:sz w:val="24"/>
          <w:szCs w:val="24"/>
        </w:rPr>
        <w:br/>
      </w:r>
    </w:p>
    <w:p w14:paraId="7C14BF78" w14:textId="77777777" w:rsidR="00F010E6" w:rsidRDefault="00313257">
      <w:pPr>
        <w:numPr>
          <w:ilvl w:val="1"/>
          <w:numId w:val="3"/>
        </w:numPr>
        <w:spacing w:after="0" w:line="360" w:lineRule="auto"/>
        <w:rPr>
          <w:rFonts w:ascii="Arial" w:eastAsia="Arial" w:hAnsi="Arial" w:cs="Arial"/>
          <w:sz w:val="24"/>
          <w:szCs w:val="24"/>
        </w:rPr>
      </w:pPr>
      <w:r>
        <w:rPr>
          <w:rFonts w:ascii="Arial Unicode MS" w:eastAsia="Arial Unicode MS" w:hAnsi="Arial Unicode MS" w:cs="Arial Unicode MS"/>
          <w:sz w:val="24"/>
          <w:szCs w:val="24"/>
        </w:rPr>
        <w:t>Mejor gobierno (COBIT) + operaciones eficientes (ITIL) → menor riesgo operativo y mejor alineación estratégica.</w:t>
      </w:r>
    </w:p>
    <w:p w14:paraId="43026205" w14:textId="77777777" w:rsidR="00F010E6" w:rsidRDefault="00313257">
      <w:pPr>
        <w:numPr>
          <w:ilvl w:val="1"/>
          <w:numId w:val="3"/>
        </w:numPr>
        <w:spacing w:after="240" w:line="360" w:lineRule="auto"/>
        <w:rPr>
          <w:rFonts w:ascii="Arial" w:eastAsia="Arial" w:hAnsi="Arial" w:cs="Arial"/>
          <w:sz w:val="24"/>
          <w:szCs w:val="24"/>
        </w:rPr>
      </w:pPr>
      <w:r>
        <w:rPr>
          <w:rFonts w:ascii="Arial" w:eastAsia="Arial" w:hAnsi="Arial" w:cs="Arial"/>
          <w:sz w:val="24"/>
          <w:szCs w:val="24"/>
        </w:rPr>
        <w:t>ISO/IEC 20000 aporta reconocimiento externo y coherencia documental; CMMI aporta métricas de madurez que permiten justificar inversiones en mejora.</w:t>
      </w:r>
    </w:p>
    <w:p w14:paraId="4D77245F" w14:textId="77777777" w:rsidR="00F010E6" w:rsidRDefault="00F010E6">
      <w:pPr>
        <w:spacing w:before="240" w:after="240" w:line="360" w:lineRule="auto"/>
        <w:ind w:left="1440"/>
        <w:rPr>
          <w:rFonts w:ascii="Arial" w:eastAsia="Arial" w:hAnsi="Arial" w:cs="Arial"/>
          <w:sz w:val="24"/>
          <w:szCs w:val="24"/>
        </w:rPr>
      </w:pPr>
    </w:p>
    <w:p w14:paraId="6EBB2015" w14:textId="77777777" w:rsidR="00F010E6" w:rsidRDefault="00313257">
      <w:pPr>
        <w:numPr>
          <w:ilvl w:val="0"/>
          <w:numId w:val="3"/>
        </w:numPr>
        <w:spacing w:before="240" w:after="0" w:line="360" w:lineRule="auto"/>
        <w:rPr>
          <w:rFonts w:ascii="Arial" w:eastAsia="Arial" w:hAnsi="Arial" w:cs="Arial"/>
          <w:sz w:val="24"/>
          <w:szCs w:val="24"/>
        </w:rPr>
      </w:pPr>
      <w:r>
        <w:rPr>
          <w:rFonts w:ascii="Arial" w:eastAsia="Arial" w:hAnsi="Arial" w:cs="Arial"/>
          <w:b/>
          <w:bCs/>
          <w:sz w:val="24"/>
          <w:szCs w:val="24"/>
        </w:rPr>
        <w:t>Ejemplo de flujo de trabajo integrado</w:t>
      </w:r>
      <w:r>
        <w:rPr>
          <w:rFonts w:ascii="Arial" w:eastAsia="Arial" w:hAnsi="Arial" w:cs="Arial"/>
          <w:b/>
          <w:bCs/>
          <w:sz w:val="24"/>
          <w:szCs w:val="24"/>
        </w:rPr>
        <w:br/>
      </w:r>
    </w:p>
    <w:p w14:paraId="1BCAC216" w14:textId="77777777" w:rsidR="00F010E6" w:rsidRDefault="00313257">
      <w:pPr>
        <w:numPr>
          <w:ilvl w:val="1"/>
          <w:numId w:val="3"/>
        </w:numPr>
        <w:spacing w:after="240" w:line="360" w:lineRule="auto"/>
        <w:rPr>
          <w:rFonts w:ascii="Arial" w:eastAsia="Arial" w:hAnsi="Arial" w:cs="Arial"/>
          <w:sz w:val="24"/>
          <w:szCs w:val="24"/>
        </w:rPr>
      </w:pPr>
      <w:r>
        <w:rPr>
          <w:rFonts w:ascii="Arial Unicode MS" w:eastAsia="Arial Unicode MS" w:hAnsi="Arial Unicode MS" w:cs="Arial Unicode MS"/>
          <w:sz w:val="24"/>
          <w:szCs w:val="24"/>
        </w:rPr>
        <w:t>COBIT define indicadores que la dirección exige (ej.: disponibilidad del ERP ≥ 99.5%). ITIL operacionaliza los procesos para cumplir este objetivo (procedimientos de cambio, incidentes). ISO/IEC 20000 certifica el SMS y CMMI ofrece la ruta para mejorar procesos (de nivel 2 → 3, etc.) y reducir fallos.</w:t>
      </w:r>
      <w:r>
        <w:rPr>
          <w:rFonts w:ascii="Arial Unicode MS" w:eastAsia="Arial Unicode MS" w:hAnsi="Arial Unicode MS" w:cs="Arial Unicode MS"/>
          <w:sz w:val="24"/>
          <w:szCs w:val="24"/>
        </w:rPr>
        <w:br/>
      </w:r>
    </w:p>
    <w:p w14:paraId="4C849497" w14:textId="1AF65B48" w:rsidR="00F010E6" w:rsidRDefault="00F010E6">
      <w:pPr>
        <w:spacing w:after="0" w:line="360" w:lineRule="auto"/>
        <w:jc w:val="both"/>
        <w:rPr>
          <w:rFonts w:ascii="Arial" w:eastAsia="Arial" w:hAnsi="Arial" w:cs="Arial"/>
          <w:sz w:val="24"/>
          <w:szCs w:val="24"/>
        </w:rPr>
      </w:pPr>
    </w:p>
    <w:p w14:paraId="15455374" w14:textId="77777777" w:rsidR="00F010E6" w:rsidRDefault="00313257">
      <w:pPr>
        <w:spacing w:line="360" w:lineRule="auto"/>
        <w:jc w:val="both"/>
        <w:rPr>
          <w:b/>
          <w:bCs/>
          <w:sz w:val="28"/>
          <w:szCs w:val="28"/>
        </w:rPr>
      </w:pPr>
      <w:r>
        <w:rPr>
          <w:b/>
          <w:bCs/>
          <w:sz w:val="28"/>
          <w:szCs w:val="28"/>
        </w:rPr>
        <w:t>Ejemplo práctico aplicado a una universidad (caso: Universidad San Martín — ejemplo ficticio)</w:t>
      </w:r>
    </w:p>
    <w:p w14:paraId="1F9F4084"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b/>
          <w:bCs/>
          <w:sz w:val="24"/>
          <w:szCs w:val="24"/>
        </w:rPr>
        <w:t>Situación:</w:t>
      </w:r>
      <w:r>
        <w:rPr>
          <w:rFonts w:ascii="Arial" w:eastAsia="Arial" w:hAnsi="Arial" w:cs="Arial"/>
          <w:sz w:val="24"/>
          <w:szCs w:val="24"/>
        </w:rPr>
        <w:t xml:space="preserve"> Universidad con servicios digitales: plataforma LMS, correo universitario, ERP académico, y portal de trámites. Problemas: incidencias frecuentes en el LMS durante matrículas, </w:t>
      </w:r>
      <w:proofErr w:type="gramStart"/>
      <w:r>
        <w:rPr>
          <w:rFonts w:ascii="Arial" w:eastAsia="Arial" w:hAnsi="Arial" w:cs="Arial"/>
          <w:sz w:val="24"/>
          <w:szCs w:val="24"/>
        </w:rPr>
        <w:t>poca evidencias</w:t>
      </w:r>
      <w:proofErr w:type="gramEnd"/>
      <w:r>
        <w:rPr>
          <w:rFonts w:ascii="Arial" w:eastAsia="Arial" w:hAnsi="Arial" w:cs="Arial"/>
          <w:sz w:val="24"/>
          <w:szCs w:val="24"/>
        </w:rPr>
        <w:t xml:space="preserve"> de gobernanza y procesos inconsistentes entre facultades.</w:t>
      </w:r>
    </w:p>
    <w:p w14:paraId="3B7AC459" w14:textId="77777777" w:rsidR="00F010E6" w:rsidRDefault="00F010E6">
      <w:pPr>
        <w:spacing w:before="240" w:after="240" w:line="360" w:lineRule="auto"/>
        <w:jc w:val="both"/>
        <w:rPr>
          <w:rFonts w:ascii="Arial" w:eastAsia="Arial" w:hAnsi="Arial" w:cs="Arial"/>
          <w:sz w:val="24"/>
          <w:szCs w:val="24"/>
        </w:rPr>
      </w:pPr>
    </w:p>
    <w:p w14:paraId="6FCB4D3E" w14:textId="77777777" w:rsidR="00F010E6" w:rsidRDefault="00F010E6">
      <w:pPr>
        <w:spacing w:before="240" w:after="240" w:line="360" w:lineRule="auto"/>
        <w:jc w:val="both"/>
        <w:rPr>
          <w:rFonts w:ascii="Arial" w:eastAsia="Arial" w:hAnsi="Arial" w:cs="Arial"/>
          <w:sz w:val="24"/>
          <w:szCs w:val="24"/>
        </w:rPr>
      </w:pPr>
    </w:p>
    <w:p w14:paraId="655F253A" w14:textId="77777777" w:rsidR="00F010E6" w:rsidRDefault="00F010E6">
      <w:pPr>
        <w:spacing w:before="240" w:after="240" w:line="360" w:lineRule="auto"/>
        <w:jc w:val="both"/>
        <w:rPr>
          <w:rFonts w:ascii="Arial" w:eastAsia="Arial" w:hAnsi="Arial" w:cs="Arial"/>
          <w:sz w:val="24"/>
          <w:szCs w:val="24"/>
        </w:rPr>
      </w:pPr>
    </w:p>
    <w:p w14:paraId="0E241CE2" w14:textId="77777777" w:rsidR="00F010E6" w:rsidRDefault="00313257">
      <w:pPr>
        <w:spacing w:before="240" w:after="240" w:line="360" w:lineRule="auto"/>
        <w:jc w:val="both"/>
        <w:rPr>
          <w:rFonts w:ascii="Arial" w:eastAsia="Arial" w:hAnsi="Arial" w:cs="Arial"/>
          <w:b/>
          <w:bCs/>
          <w:sz w:val="24"/>
          <w:szCs w:val="24"/>
        </w:rPr>
      </w:pPr>
      <w:r>
        <w:rPr>
          <w:rFonts w:ascii="Arial" w:eastAsia="Arial" w:hAnsi="Arial" w:cs="Arial"/>
          <w:b/>
          <w:bCs/>
          <w:sz w:val="24"/>
          <w:szCs w:val="24"/>
        </w:rPr>
        <w:lastRenderedPageBreak/>
        <w:t>Propuesta integrada (pasos):</w:t>
      </w:r>
    </w:p>
    <w:p w14:paraId="1A74B26A" w14:textId="77777777" w:rsidR="00F010E6" w:rsidRDefault="00313257">
      <w:pPr>
        <w:numPr>
          <w:ilvl w:val="0"/>
          <w:numId w:val="6"/>
        </w:numPr>
        <w:spacing w:before="240" w:after="0" w:line="360" w:lineRule="auto"/>
        <w:rPr>
          <w:rFonts w:ascii="Arial" w:eastAsia="Arial" w:hAnsi="Arial" w:cs="Arial"/>
          <w:sz w:val="24"/>
          <w:szCs w:val="24"/>
        </w:rPr>
      </w:pPr>
      <w:r>
        <w:rPr>
          <w:rFonts w:ascii="Arial" w:eastAsia="Arial" w:hAnsi="Arial" w:cs="Arial"/>
          <w:b/>
          <w:bCs/>
          <w:sz w:val="24"/>
          <w:szCs w:val="24"/>
        </w:rPr>
        <w:t>COBIT (fase inicial)</w:t>
      </w:r>
    </w:p>
    <w:p w14:paraId="09ED5BB6" w14:textId="77777777" w:rsidR="00F010E6" w:rsidRDefault="00313257">
      <w:pPr>
        <w:numPr>
          <w:ilvl w:val="1"/>
          <w:numId w:val="6"/>
        </w:numPr>
        <w:spacing w:after="0" w:line="360" w:lineRule="auto"/>
        <w:rPr>
          <w:rFonts w:ascii="Arial" w:eastAsia="Arial" w:hAnsi="Arial" w:cs="Arial"/>
          <w:sz w:val="24"/>
          <w:szCs w:val="24"/>
        </w:rPr>
      </w:pPr>
      <w:r>
        <w:rPr>
          <w:rFonts w:ascii="Arial" w:eastAsia="Arial" w:hAnsi="Arial" w:cs="Arial"/>
          <w:sz w:val="24"/>
          <w:szCs w:val="24"/>
        </w:rPr>
        <w:t xml:space="preserve">Definir gobierno TI: roles (comité de TI, </w:t>
      </w:r>
      <w:proofErr w:type="spellStart"/>
      <w:r>
        <w:rPr>
          <w:rFonts w:ascii="Arial" w:eastAsia="Arial" w:hAnsi="Arial" w:cs="Arial"/>
          <w:sz w:val="24"/>
          <w:szCs w:val="24"/>
        </w:rPr>
        <w:t>owner</w:t>
      </w:r>
      <w:proofErr w:type="spellEnd"/>
      <w:r>
        <w:rPr>
          <w:rFonts w:ascii="Arial" w:eastAsia="Arial" w:hAnsi="Arial" w:cs="Arial"/>
          <w:sz w:val="24"/>
          <w:szCs w:val="24"/>
        </w:rPr>
        <w:t xml:space="preserve"> de servicios), objetivos estratégicos (disponibilidad LMS durante matrícula), </w:t>
      </w:r>
      <w:proofErr w:type="spellStart"/>
      <w:r>
        <w:rPr>
          <w:rFonts w:ascii="Arial" w:eastAsia="Arial" w:hAnsi="Arial" w:cs="Arial"/>
          <w:sz w:val="24"/>
          <w:szCs w:val="24"/>
        </w:rPr>
        <w:t>KPIs</w:t>
      </w:r>
      <w:proofErr w:type="spellEnd"/>
      <w:r>
        <w:rPr>
          <w:rFonts w:ascii="Arial" w:eastAsia="Arial" w:hAnsi="Arial" w:cs="Arial"/>
          <w:sz w:val="24"/>
          <w:szCs w:val="24"/>
        </w:rPr>
        <w:t xml:space="preserve"> y marco de control para cumplimiento normativo.</w:t>
      </w:r>
    </w:p>
    <w:p w14:paraId="71E4085E" w14:textId="77777777" w:rsidR="00F010E6" w:rsidRDefault="00313257">
      <w:pPr>
        <w:numPr>
          <w:ilvl w:val="0"/>
          <w:numId w:val="6"/>
        </w:numPr>
        <w:spacing w:after="0" w:line="360" w:lineRule="auto"/>
        <w:rPr>
          <w:rFonts w:ascii="Arial" w:eastAsia="Arial" w:hAnsi="Arial" w:cs="Arial"/>
          <w:sz w:val="24"/>
          <w:szCs w:val="24"/>
        </w:rPr>
      </w:pPr>
      <w:r>
        <w:rPr>
          <w:rFonts w:ascii="Arial" w:eastAsia="Arial" w:hAnsi="Arial" w:cs="Arial"/>
          <w:b/>
          <w:bCs/>
          <w:sz w:val="24"/>
          <w:szCs w:val="24"/>
        </w:rPr>
        <w:t>ITIL (operación y transición)</w:t>
      </w:r>
    </w:p>
    <w:p w14:paraId="5421E147" w14:textId="77777777" w:rsidR="00F010E6" w:rsidRDefault="00313257">
      <w:pPr>
        <w:numPr>
          <w:ilvl w:val="1"/>
          <w:numId w:val="6"/>
        </w:numPr>
        <w:spacing w:after="0" w:line="360" w:lineRule="auto"/>
        <w:rPr>
          <w:rFonts w:ascii="Arial" w:eastAsia="Arial" w:hAnsi="Arial" w:cs="Arial"/>
          <w:sz w:val="24"/>
          <w:szCs w:val="24"/>
        </w:rPr>
      </w:pPr>
      <w:r>
        <w:rPr>
          <w:rFonts w:ascii="Arial" w:eastAsia="Arial" w:hAnsi="Arial" w:cs="Arial"/>
          <w:sz w:val="24"/>
          <w:szCs w:val="24"/>
        </w:rPr>
        <w:t xml:space="preserve">Implementar gestión de incidentes, gestión de cambios y un catálogo de servicios (LMS, correo, ERP). Establecer </w:t>
      </w:r>
      <w:proofErr w:type="spellStart"/>
      <w:r>
        <w:rPr>
          <w:rFonts w:ascii="Arial" w:eastAsia="Arial" w:hAnsi="Arial" w:cs="Arial"/>
          <w:sz w:val="24"/>
          <w:szCs w:val="24"/>
        </w:rPr>
        <w:t>SLAs</w:t>
      </w:r>
      <w:proofErr w:type="spellEnd"/>
      <w:r>
        <w:rPr>
          <w:rFonts w:ascii="Arial" w:eastAsia="Arial" w:hAnsi="Arial" w:cs="Arial"/>
          <w:sz w:val="24"/>
          <w:szCs w:val="24"/>
        </w:rPr>
        <w:t xml:space="preserve"> para cada servicio crítico. Capacitar mesas de ayuda.</w:t>
      </w:r>
      <w:hyperlink r:id="rId11">
        <w:r>
          <w:rPr>
            <w:rFonts w:ascii="Arial" w:eastAsia="Arial" w:hAnsi="Arial" w:cs="Arial"/>
            <w:sz w:val="24"/>
            <w:szCs w:val="24"/>
          </w:rPr>
          <w:t xml:space="preserve"> </w:t>
        </w:r>
      </w:hyperlink>
    </w:p>
    <w:p w14:paraId="32CC469F" w14:textId="77777777" w:rsidR="00F010E6" w:rsidRDefault="00313257">
      <w:pPr>
        <w:numPr>
          <w:ilvl w:val="0"/>
          <w:numId w:val="6"/>
        </w:numPr>
        <w:spacing w:after="0" w:line="360" w:lineRule="auto"/>
        <w:rPr>
          <w:rFonts w:ascii="Arial" w:eastAsia="Arial" w:hAnsi="Arial" w:cs="Arial"/>
          <w:sz w:val="24"/>
          <w:szCs w:val="24"/>
        </w:rPr>
      </w:pPr>
      <w:r>
        <w:rPr>
          <w:rFonts w:ascii="Arial" w:eastAsia="Arial" w:hAnsi="Arial" w:cs="Arial"/>
          <w:b/>
          <w:bCs/>
          <w:sz w:val="24"/>
          <w:szCs w:val="24"/>
        </w:rPr>
        <w:t>ISO/IEC 20000 (formalización)</w:t>
      </w:r>
    </w:p>
    <w:p w14:paraId="61BE15D4" w14:textId="77777777" w:rsidR="00F010E6" w:rsidRDefault="00313257">
      <w:pPr>
        <w:numPr>
          <w:ilvl w:val="1"/>
          <w:numId w:val="6"/>
        </w:numPr>
        <w:spacing w:after="0" w:line="360" w:lineRule="auto"/>
        <w:rPr>
          <w:rFonts w:ascii="Arial" w:eastAsia="Arial" w:hAnsi="Arial" w:cs="Arial"/>
          <w:sz w:val="24"/>
          <w:szCs w:val="24"/>
        </w:rPr>
      </w:pPr>
      <w:r>
        <w:rPr>
          <w:rFonts w:ascii="Arial" w:eastAsia="Arial" w:hAnsi="Arial" w:cs="Arial"/>
          <w:sz w:val="24"/>
          <w:szCs w:val="24"/>
        </w:rPr>
        <w:t>Documentar el SMS, establecer procesos medibles y someterse a auditoría para certificación de los servicios críticos (p. ej. gestión de disponibilidad y continuidad del LMS). Esto aumentará la confianza de estudiantes y personal.</w:t>
      </w:r>
    </w:p>
    <w:p w14:paraId="54585E93" w14:textId="77777777" w:rsidR="00F010E6" w:rsidRDefault="00313257">
      <w:pPr>
        <w:numPr>
          <w:ilvl w:val="0"/>
          <w:numId w:val="6"/>
        </w:numPr>
        <w:spacing w:after="0" w:line="360" w:lineRule="auto"/>
        <w:rPr>
          <w:rFonts w:ascii="Arial" w:eastAsia="Arial" w:hAnsi="Arial" w:cs="Arial"/>
          <w:sz w:val="24"/>
          <w:szCs w:val="24"/>
        </w:rPr>
      </w:pPr>
      <w:r>
        <w:rPr>
          <w:rFonts w:ascii="Arial" w:eastAsia="Arial" w:hAnsi="Arial" w:cs="Arial"/>
          <w:b/>
          <w:bCs/>
          <w:sz w:val="24"/>
          <w:szCs w:val="24"/>
        </w:rPr>
        <w:t>CMMI (mejora continua y madurez)</w:t>
      </w:r>
    </w:p>
    <w:p w14:paraId="5D311135" w14:textId="77777777" w:rsidR="00F010E6" w:rsidRDefault="00313257">
      <w:pPr>
        <w:numPr>
          <w:ilvl w:val="1"/>
          <w:numId w:val="6"/>
        </w:numPr>
        <w:spacing w:after="240" w:line="360" w:lineRule="auto"/>
        <w:rPr>
          <w:rFonts w:ascii="Arial" w:eastAsia="Arial" w:hAnsi="Arial" w:cs="Arial"/>
          <w:sz w:val="24"/>
          <w:szCs w:val="24"/>
        </w:rPr>
      </w:pPr>
      <w:r>
        <w:rPr>
          <w:rFonts w:ascii="Arial" w:eastAsia="Arial" w:hAnsi="Arial" w:cs="Arial"/>
          <w:sz w:val="24"/>
          <w:szCs w:val="24"/>
        </w:rPr>
        <w:t xml:space="preserve">Realizar evaluación de madurez de procesos, priorizar mejoras (por </w:t>
      </w:r>
      <w:proofErr w:type="gramStart"/>
      <w:r>
        <w:rPr>
          <w:rFonts w:ascii="Arial" w:eastAsia="Arial" w:hAnsi="Arial" w:cs="Arial"/>
          <w:sz w:val="24"/>
          <w:szCs w:val="24"/>
        </w:rPr>
        <w:t>ejemplo</w:t>
      </w:r>
      <w:proofErr w:type="gramEnd"/>
      <w:r>
        <w:rPr>
          <w:rFonts w:ascii="Arial" w:eastAsia="Arial" w:hAnsi="Arial" w:cs="Arial"/>
          <w:sz w:val="24"/>
          <w:szCs w:val="24"/>
        </w:rPr>
        <w:t xml:space="preserve"> estandarizar gestión de cambios entre facultades) y ejecutar </w:t>
      </w:r>
      <w:proofErr w:type="spellStart"/>
      <w:r>
        <w:rPr>
          <w:rFonts w:ascii="Arial" w:eastAsia="Arial" w:hAnsi="Arial" w:cs="Arial"/>
          <w:sz w:val="24"/>
          <w:szCs w:val="24"/>
        </w:rPr>
        <w:t>roadmap</w:t>
      </w:r>
      <w:proofErr w:type="spellEnd"/>
      <w:r>
        <w:rPr>
          <w:rFonts w:ascii="Arial" w:eastAsia="Arial" w:hAnsi="Arial" w:cs="Arial"/>
          <w:sz w:val="24"/>
          <w:szCs w:val="24"/>
        </w:rPr>
        <w:t xml:space="preserve"> para elevar niveles de madurez en 2–3 años.</w:t>
      </w:r>
    </w:p>
    <w:p w14:paraId="3E6DF5FF"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b/>
          <w:bCs/>
          <w:sz w:val="24"/>
          <w:szCs w:val="24"/>
        </w:rPr>
        <w:t>Resultados esperados:</w:t>
      </w:r>
      <w:r>
        <w:rPr>
          <w:rFonts w:ascii="Arial" w:eastAsia="Arial" w:hAnsi="Arial" w:cs="Arial"/>
          <w:sz w:val="24"/>
          <w:szCs w:val="24"/>
        </w:rPr>
        <w:t xml:space="preserve"> menor tiempo de caída en matrículas, respuesta más rápida a incidentes, evidencia documental para acreditaciones y mayor satisfacción estudiantil.</w:t>
      </w:r>
    </w:p>
    <w:p w14:paraId="1B830604" w14:textId="77777777" w:rsidR="00F010E6" w:rsidRDefault="00F010E6">
      <w:pPr>
        <w:spacing w:before="240" w:after="240" w:line="360" w:lineRule="auto"/>
        <w:jc w:val="both"/>
        <w:rPr>
          <w:rFonts w:ascii="Arial" w:eastAsia="Arial" w:hAnsi="Arial" w:cs="Arial"/>
          <w:sz w:val="24"/>
          <w:szCs w:val="24"/>
        </w:rPr>
      </w:pPr>
    </w:p>
    <w:p w14:paraId="0C8A7AC8" w14:textId="77777777" w:rsidR="00F010E6" w:rsidRDefault="00F010E6">
      <w:pPr>
        <w:spacing w:before="240" w:after="240" w:line="360" w:lineRule="auto"/>
        <w:jc w:val="both"/>
        <w:rPr>
          <w:rFonts w:ascii="Arial" w:eastAsia="Arial" w:hAnsi="Arial" w:cs="Arial"/>
          <w:sz w:val="24"/>
          <w:szCs w:val="24"/>
        </w:rPr>
      </w:pPr>
    </w:p>
    <w:p w14:paraId="37950E64" w14:textId="77777777" w:rsidR="00F010E6" w:rsidRDefault="00F010E6">
      <w:pPr>
        <w:spacing w:before="240" w:after="240" w:line="360" w:lineRule="auto"/>
        <w:jc w:val="both"/>
        <w:rPr>
          <w:rFonts w:ascii="Arial" w:eastAsia="Arial" w:hAnsi="Arial" w:cs="Arial"/>
          <w:sz w:val="24"/>
          <w:szCs w:val="24"/>
        </w:rPr>
      </w:pPr>
    </w:p>
    <w:p w14:paraId="6C55F3F5" w14:textId="77777777" w:rsidR="00F010E6" w:rsidRDefault="00F010E6">
      <w:pPr>
        <w:spacing w:before="240" w:after="240" w:line="360" w:lineRule="auto"/>
        <w:jc w:val="both"/>
        <w:rPr>
          <w:rFonts w:ascii="Arial" w:eastAsia="Arial" w:hAnsi="Arial" w:cs="Arial"/>
          <w:sz w:val="24"/>
          <w:szCs w:val="24"/>
        </w:rPr>
      </w:pPr>
    </w:p>
    <w:p w14:paraId="387CF1D8" w14:textId="77777777" w:rsidR="00F010E6" w:rsidRDefault="00F010E6">
      <w:pPr>
        <w:spacing w:before="240" w:after="240" w:line="360" w:lineRule="auto"/>
        <w:jc w:val="both"/>
        <w:rPr>
          <w:rFonts w:ascii="Arial" w:eastAsia="Arial" w:hAnsi="Arial" w:cs="Arial"/>
          <w:sz w:val="24"/>
          <w:szCs w:val="24"/>
        </w:rPr>
      </w:pPr>
    </w:p>
    <w:p w14:paraId="2C56BE6A" w14:textId="77777777" w:rsidR="00F010E6" w:rsidRDefault="00F010E6">
      <w:pPr>
        <w:spacing w:before="240" w:after="240" w:line="360" w:lineRule="auto"/>
        <w:jc w:val="both"/>
        <w:rPr>
          <w:rFonts w:ascii="Arial" w:eastAsia="Arial" w:hAnsi="Arial" w:cs="Arial"/>
          <w:sz w:val="24"/>
          <w:szCs w:val="24"/>
        </w:rPr>
      </w:pPr>
    </w:p>
    <w:p w14:paraId="16D3C546"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lastRenderedPageBreak/>
        <w:t>3. Diseñar y presentar un modelo de administración de servicios de TI privados para una empresa simulada, aplicando los principios, requerimientos, actividades de control e indicadores de gestión estudiados. La actividad consistirá en analizar una empresa ficticia, que requiere garantizar la continuidad de sus procesos mediante un soporte robusto de TI. Para ello, debe identificarán los servicios prioritarios</w:t>
      </w:r>
      <w:r>
        <w:rPr>
          <w:rFonts w:ascii="Arial" w:eastAsia="Arial" w:hAnsi="Arial" w:cs="Arial"/>
          <w:b/>
          <w:bCs/>
          <w:sz w:val="24"/>
          <w:szCs w:val="24"/>
        </w:rPr>
        <w:t xml:space="preserve"> </w:t>
      </w:r>
      <w:r>
        <w:rPr>
          <w:rFonts w:ascii="Arial" w:eastAsia="Arial" w:hAnsi="Arial" w:cs="Arial"/>
          <w:sz w:val="24"/>
          <w:szCs w:val="24"/>
        </w:rPr>
        <w:t>(correo corporativo, ERP, nube privada y mesa de ayuda), propondrá una estructura organizativa con roles definidos (DTSI, gestor de infraestructura, equipo de soporte, gestor de seguridad y de activos), y describirán los</w:t>
      </w:r>
      <w:r>
        <w:rPr>
          <w:rFonts w:ascii="Arial" w:eastAsia="Arial" w:hAnsi="Arial" w:cs="Arial"/>
          <w:b/>
          <w:bCs/>
          <w:sz w:val="24"/>
          <w:szCs w:val="24"/>
        </w:rPr>
        <w:t xml:space="preserve"> </w:t>
      </w:r>
      <w:r>
        <w:rPr>
          <w:rFonts w:ascii="Arial" w:eastAsia="Arial" w:hAnsi="Arial" w:cs="Arial"/>
          <w:sz w:val="24"/>
          <w:szCs w:val="24"/>
        </w:rPr>
        <w:t>principios aplicados</w:t>
      </w:r>
      <w:r>
        <w:rPr>
          <w:rFonts w:ascii="Arial" w:eastAsia="Arial" w:hAnsi="Arial" w:cs="Arial"/>
          <w:b/>
          <w:bCs/>
          <w:sz w:val="24"/>
          <w:szCs w:val="24"/>
        </w:rPr>
        <w:t xml:space="preserve"> (</w:t>
      </w:r>
      <w:r>
        <w:rPr>
          <w:rFonts w:ascii="Arial" w:eastAsia="Arial" w:hAnsi="Arial" w:cs="Arial"/>
          <w:sz w:val="24"/>
          <w:szCs w:val="24"/>
        </w:rPr>
        <w:t xml:space="preserve">alineación con objetivos empresariales, protección de recursos, confianza y eficiencia). </w:t>
      </w:r>
    </w:p>
    <w:p w14:paraId="5543BCF6" w14:textId="77777777" w:rsidR="00F010E6" w:rsidRDefault="00313257">
      <w:pPr>
        <w:spacing w:before="240" w:after="240" w:line="360" w:lineRule="auto"/>
        <w:jc w:val="center"/>
        <w:rPr>
          <w:rFonts w:ascii="Arial" w:eastAsia="Arial" w:hAnsi="Arial" w:cs="Arial"/>
          <w:sz w:val="24"/>
          <w:szCs w:val="24"/>
        </w:rPr>
      </w:pPr>
      <w:r>
        <w:rPr>
          <w:rFonts w:ascii="Arial" w:eastAsia="Arial" w:hAnsi="Arial" w:cs="Arial"/>
          <w:sz w:val="24"/>
          <w:szCs w:val="24"/>
        </w:rPr>
        <w:t xml:space="preserve"> </w:t>
      </w:r>
    </w:p>
    <w:p w14:paraId="22B4FB7E" w14:textId="77777777" w:rsidR="00F010E6" w:rsidRDefault="00313257">
      <w:pPr>
        <w:spacing w:before="240" w:after="240" w:line="360" w:lineRule="auto"/>
        <w:jc w:val="center"/>
        <w:rPr>
          <w:rFonts w:ascii="Arial" w:eastAsia="Arial" w:hAnsi="Arial" w:cs="Arial"/>
          <w:b/>
          <w:bCs/>
          <w:i/>
          <w:iCs/>
          <w:sz w:val="24"/>
          <w:szCs w:val="24"/>
        </w:rPr>
      </w:pPr>
      <w:r>
        <w:rPr>
          <w:rFonts w:ascii="Arial" w:eastAsia="Arial" w:hAnsi="Arial" w:cs="Arial"/>
          <w:b/>
          <w:bCs/>
          <w:i/>
          <w:iCs/>
          <w:sz w:val="24"/>
          <w:szCs w:val="24"/>
        </w:rPr>
        <w:t>Modelo de Administración de Servicios de TI Privados</w:t>
      </w:r>
    </w:p>
    <w:p w14:paraId="1420C740" w14:textId="77777777" w:rsidR="00F010E6" w:rsidRDefault="00313257">
      <w:pPr>
        <w:spacing w:before="240" w:after="240" w:line="360" w:lineRule="auto"/>
        <w:jc w:val="center"/>
        <w:rPr>
          <w:rFonts w:ascii="Arial" w:eastAsia="Arial" w:hAnsi="Arial" w:cs="Arial"/>
          <w:b/>
          <w:bCs/>
          <w:i/>
          <w:iCs/>
          <w:sz w:val="24"/>
          <w:szCs w:val="24"/>
        </w:rPr>
      </w:pPr>
      <w:r>
        <w:rPr>
          <w:rFonts w:ascii="Arial" w:eastAsia="Arial" w:hAnsi="Arial" w:cs="Arial"/>
          <w:b/>
          <w:bCs/>
          <w:i/>
          <w:iCs/>
          <w:sz w:val="24"/>
          <w:szCs w:val="24"/>
        </w:rPr>
        <w:t xml:space="preserve"> Empresa Simulada “</w:t>
      </w:r>
      <w:proofErr w:type="spellStart"/>
      <w:r>
        <w:rPr>
          <w:rFonts w:ascii="Arial" w:eastAsia="Arial" w:hAnsi="Arial" w:cs="Arial"/>
          <w:b/>
          <w:bCs/>
          <w:i/>
          <w:iCs/>
          <w:sz w:val="24"/>
          <w:szCs w:val="24"/>
        </w:rPr>
        <w:t>Tech</w:t>
      </w:r>
      <w:proofErr w:type="spellEnd"/>
      <w:r>
        <w:rPr>
          <w:rFonts w:ascii="Arial" w:eastAsia="Arial" w:hAnsi="Arial" w:cs="Arial"/>
          <w:b/>
          <w:bCs/>
          <w:i/>
          <w:iCs/>
          <w:sz w:val="24"/>
          <w:szCs w:val="24"/>
        </w:rPr>
        <w:t xml:space="preserve"> </w:t>
      </w:r>
      <w:proofErr w:type="spellStart"/>
      <w:r>
        <w:rPr>
          <w:rFonts w:ascii="Arial" w:eastAsia="Arial" w:hAnsi="Arial" w:cs="Arial"/>
          <w:b/>
          <w:bCs/>
          <w:i/>
          <w:iCs/>
          <w:sz w:val="24"/>
          <w:szCs w:val="24"/>
        </w:rPr>
        <w:t>Solutions</w:t>
      </w:r>
      <w:proofErr w:type="spellEnd"/>
      <w:r>
        <w:rPr>
          <w:rFonts w:ascii="Arial" w:eastAsia="Arial" w:hAnsi="Arial" w:cs="Arial"/>
          <w:b/>
          <w:bCs/>
          <w:i/>
          <w:iCs/>
          <w:sz w:val="24"/>
          <w:szCs w:val="24"/>
        </w:rPr>
        <w:t xml:space="preserve"> S.A.”</w:t>
      </w:r>
    </w:p>
    <w:p w14:paraId="488897C0"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3B326EC0"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b/>
          <w:bCs/>
          <w:sz w:val="24"/>
          <w:szCs w:val="24"/>
        </w:rPr>
        <w:t>1.</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sz w:val="24"/>
          <w:szCs w:val="24"/>
        </w:rPr>
        <w:t>Contexto y objetivo del modelo</w:t>
      </w:r>
    </w:p>
    <w:p w14:paraId="18CF98F7"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La empresa ficticia </w:t>
      </w:r>
      <w:proofErr w:type="spellStart"/>
      <w:r>
        <w:rPr>
          <w:rFonts w:ascii="Arial" w:eastAsia="Arial" w:hAnsi="Arial" w:cs="Arial"/>
          <w:sz w:val="24"/>
          <w:szCs w:val="24"/>
        </w:rPr>
        <w:t>Tech</w:t>
      </w:r>
      <w:proofErr w:type="spellEnd"/>
      <w:r>
        <w:rPr>
          <w:rFonts w:ascii="Arial" w:eastAsia="Arial" w:hAnsi="Arial" w:cs="Arial"/>
          <w:sz w:val="24"/>
          <w:szCs w:val="24"/>
        </w:rPr>
        <w:t xml:space="preserve"> </w:t>
      </w:r>
      <w:proofErr w:type="spellStart"/>
      <w:r>
        <w:rPr>
          <w:rFonts w:ascii="Arial" w:eastAsia="Arial" w:hAnsi="Arial" w:cs="Arial"/>
          <w:sz w:val="24"/>
          <w:szCs w:val="24"/>
        </w:rPr>
        <w:t>Solutions</w:t>
      </w:r>
      <w:proofErr w:type="spellEnd"/>
      <w:r>
        <w:rPr>
          <w:rFonts w:ascii="Arial" w:eastAsia="Arial" w:hAnsi="Arial" w:cs="Arial"/>
          <w:sz w:val="24"/>
          <w:szCs w:val="24"/>
        </w:rPr>
        <w:t xml:space="preserve"> S.A. Se dedica al desarrollo y mantenimiento de software empresarial, ofreciendo servicios a clientes corporativos. Su prioridad es garantizar la continuidad operativa, la seguridad de la información y la eficiencia del soporte técnico mediante una adecuada administración de sus servicios de TI privados.</w:t>
      </w:r>
    </w:p>
    <w:p w14:paraId="6F2BEDB5"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034B1884"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El modelo diseñado busca aplicar buenas prácticas de ITIL, COBIT, CMMI e ISO/IEC 20000, con el fin de asegurar la gobernanza, gestión y madurez de los servicios críticos:</w:t>
      </w:r>
    </w:p>
    <w:p w14:paraId="72F838D2"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37A8CB53"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sz w:val="24"/>
          <w:szCs w:val="24"/>
        </w:rPr>
        <w:t>·</w:t>
      </w:r>
      <w:r>
        <w:rPr>
          <w:rFonts w:ascii="Times New Roman" w:eastAsia="Times New Roman" w:hAnsi="Times New Roman" w:cs="Times New Roman"/>
          <w:sz w:val="14"/>
          <w:szCs w:val="14"/>
        </w:rPr>
        <w:t xml:space="preserve">        </w:t>
      </w:r>
      <w:r>
        <w:rPr>
          <w:rFonts w:ascii="Arial" w:eastAsia="Arial" w:hAnsi="Arial" w:cs="Arial"/>
          <w:sz w:val="24"/>
          <w:szCs w:val="24"/>
        </w:rPr>
        <w:t>Correo corporativo</w:t>
      </w:r>
    </w:p>
    <w:p w14:paraId="618D0372"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sz w:val="24"/>
          <w:szCs w:val="24"/>
        </w:rPr>
        <w:lastRenderedPageBreak/>
        <w:t>·</w:t>
      </w:r>
      <w:r>
        <w:rPr>
          <w:rFonts w:ascii="Times New Roman" w:eastAsia="Times New Roman" w:hAnsi="Times New Roman" w:cs="Times New Roman"/>
          <w:sz w:val="14"/>
          <w:szCs w:val="14"/>
        </w:rPr>
        <w:t xml:space="preserve">        </w:t>
      </w:r>
      <w:r>
        <w:rPr>
          <w:rFonts w:ascii="Arial" w:eastAsia="Arial" w:hAnsi="Arial" w:cs="Arial"/>
          <w:sz w:val="24"/>
          <w:szCs w:val="24"/>
        </w:rPr>
        <w:t>ERP interno</w:t>
      </w:r>
    </w:p>
    <w:p w14:paraId="79CA1383"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sz w:val="24"/>
          <w:szCs w:val="24"/>
        </w:rPr>
        <w:t>·</w:t>
      </w:r>
      <w:r>
        <w:rPr>
          <w:rFonts w:ascii="Times New Roman" w:eastAsia="Times New Roman" w:hAnsi="Times New Roman" w:cs="Times New Roman"/>
          <w:sz w:val="14"/>
          <w:szCs w:val="14"/>
        </w:rPr>
        <w:t xml:space="preserve">        </w:t>
      </w:r>
      <w:r>
        <w:rPr>
          <w:rFonts w:ascii="Arial" w:eastAsia="Arial" w:hAnsi="Arial" w:cs="Arial"/>
          <w:sz w:val="24"/>
          <w:szCs w:val="24"/>
        </w:rPr>
        <w:t>Nube privada</w:t>
      </w:r>
    </w:p>
    <w:p w14:paraId="585B8665"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sz w:val="24"/>
          <w:szCs w:val="24"/>
        </w:rPr>
        <w:t>·</w:t>
      </w:r>
      <w:r>
        <w:rPr>
          <w:rFonts w:ascii="Times New Roman" w:eastAsia="Times New Roman" w:hAnsi="Times New Roman" w:cs="Times New Roman"/>
          <w:sz w:val="14"/>
          <w:szCs w:val="14"/>
        </w:rPr>
        <w:t xml:space="preserve">        </w:t>
      </w:r>
      <w:r>
        <w:rPr>
          <w:rFonts w:ascii="Arial" w:eastAsia="Arial" w:hAnsi="Arial" w:cs="Arial"/>
          <w:sz w:val="24"/>
          <w:szCs w:val="24"/>
        </w:rPr>
        <w:t>Mesa de ayuda (Soporte técnico)</w:t>
      </w:r>
    </w:p>
    <w:p w14:paraId="4A3FA9A2"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075B76A2"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b/>
          <w:bCs/>
          <w:sz w:val="24"/>
          <w:szCs w:val="24"/>
        </w:rPr>
        <w:t>2.</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sz w:val="24"/>
          <w:szCs w:val="24"/>
        </w:rPr>
        <w:t>Estructura organizativa propuesta</w:t>
      </w:r>
    </w:p>
    <w:tbl>
      <w:tblPr>
        <w:tblStyle w:val="a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5730"/>
      </w:tblGrid>
      <w:tr w:rsidR="00F010E6" w14:paraId="6161274D" w14:textId="77777777">
        <w:trPr>
          <w:trHeight w:val="555"/>
        </w:trPr>
        <w:tc>
          <w:tcPr>
            <w:tcW w:w="2910" w:type="dxa"/>
            <w:tcBorders>
              <w:top w:val="single" w:sz="5" w:space="0" w:color="000000"/>
              <w:left w:val="single" w:sz="5" w:space="0" w:color="000000"/>
              <w:bottom w:val="single" w:sz="5" w:space="0" w:color="000000"/>
              <w:right w:val="single" w:sz="5" w:space="0" w:color="000000"/>
            </w:tcBorders>
            <w:shd w:val="clear" w:color="auto" w:fill="A9D08E"/>
            <w:tcMar>
              <w:top w:w="0" w:type="dxa"/>
              <w:left w:w="80" w:type="dxa"/>
              <w:bottom w:w="0" w:type="dxa"/>
              <w:right w:w="80" w:type="dxa"/>
            </w:tcMar>
          </w:tcPr>
          <w:p w14:paraId="5AE2E2F7" w14:textId="77777777" w:rsidR="00F010E6" w:rsidRDefault="00313257">
            <w:pPr>
              <w:spacing w:before="240" w:after="0" w:line="276" w:lineRule="auto"/>
              <w:jc w:val="center"/>
              <w:rPr>
                <w:rFonts w:ascii="Arial" w:eastAsia="Arial" w:hAnsi="Arial" w:cs="Arial"/>
                <w:b/>
                <w:bCs/>
                <w:sz w:val="24"/>
                <w:szCs w:val="24"/>
              </w:rPr>
            </w:pPr>
            <w:r>
              <w:rPr>
                <w:rFonts w:ascii="Arial" w:eastAsia="Arial" w:hAnsi="Arial" w:cs="Arial"/>
                <w:b/>
                <w:bCs/>
                <w:sz w:val="24"/>
                <w:szCs w:val="24"/>
              </w:rPr>
              <w:t>Rol</w:t>
            </w:r>
          </w:p>
        </w:tc>
        <w:tc>
          <w:tcPr>
            <w:tcW w:w="5730" w:type="dxa"/>
            <w:tcBorders>
              <w:top w:val="single" w:sz="5" w:space="0" w:color="000000"/>
              <w:left w:val="nil"/>
              <w:bottom w:val="single" w:sz="5" w:space="0" w:color="000000"/>
              <w:right w:val="single" w:sz="5" w:space="0" w:color="000000"/>
            </w:tcBorders>
            <w:shd w:val="clear" w:color="auto" w:fill="A9D08E"/>
            <w:tcMar>
              <w:top w:w="0" w:type="dxa"/>
              <w:left w:w="80" w:type="dxa"/>
              <w:bottom w:w="0" w:type="dxa"/>
              <w:right w:w="80" w:type="dxa"/>
            </w:tcMar>
          </w:tcPr>
          <w:p w14:paraId="4D2A0DD3" w14:textId="77777777" w:rsidR="00F010E6" w:rsidRDefault="00313257">
            <w:pPr>
              <w:spacing w:before="240" w:after="0" w:line="276" w:lineRule="auto"/>
              <w:jc w:val="center"/>
              <w:rPr>
                <w:rFonts w:ascii="Arial" w:eastAsia="Arial" w:hAnsi="Arial" w:cs="Arial"/>
                <w:b/>
                <w:bCs/>
                <w:sz w:val="24"/>
                <w:szCs w:val="24"/>
              </w:rPr>
            </w:pPr>
            <w:r>
              <w:rPr>
                <w:rFonts w:ascii="Arial" w:eastAsia="Arial" w:hAnsi="Arial" w:cs="Arial"/>
                <w:b/>
                <w:bCs/>
                <w:sz w:val="24"/>
                <w:szCs w:val="24"/>
              </w:rPr>
              <w:t>Responsabilidades principales</w:t>
            </w:r>
          </w:p>
        </w:tc>
      </w:tr>
      <w:tr w:rsidR="00F010E6" w14:paraId="1E0D077D" w14:textId="77777777">
        <w:trPr>
          <w:trHeight w:val="1500"/>
        </w:trPr>
        <w:tc>
          <w:tcPr>
            <w:tcW w:w="2910" w:type="dxa"/>
            <w:tcBorders>
              <w:top w:val="nil"/>
              <w:left w:val="single" w:sz="5" w:space="0" w:color="000000"/>
              <w:bottom w:val="single" w:sz="5" w:space="0" w:color="000000"/>
              <w:right w:val="single" w:sz="5" w:space="0" w:color="000000"/>
            </w:tcBorders>
            <w:shd w:val="clear" w:color="auto" w:fill="375623"/>
            <w:tcMar>
              <w:top w:w="0" w:type="dxa"/>
              <w:left w:w="80" w:type="dxa"/>
              <w:bottom w:w="0" w:type="dxa"/>
              <w:right w:w="80" w:type="dxa"/>
            </w:tcMar>
          </w:tcPr>
          <w:p w14:paraId="672D9208"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Director de Tecnología y Sistemas (DTSI)</w:t>
            </w:r>
          </w:p>
        </w:tc>
        <w:tc>
          <w:tcPr>
            <w:tcW w:w="5730" w:type="dxa"/>
            <w:tcBorders>
              <w:top w:val="nil"/>
              <w:left w:val="nil"/>
              <w:bottom w:val="single" w:sz="5" w:space="0" w:color="000000"/>
              <w:right w:val="single" w:sz="5" w:space="0" w:color="000000"/>
            </w:tcBorders>
            <w:tcMar>
              <w:top w:w="0" w:type="dxa"/>
              <w:left w:w="80" w:type="dxa"/>
              <w:bottom w:w="0" w:type="dxa"/>
              <w:right w:w="80" w:type="dxa"/>
            </w:tcMar>
          </w:tcPr>
          <w:p w14:paraId="5A482DAC"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Define la estrategia de TI alineada con los objetivos empresariales; supervisa el cumplimiento de políticas y métricas de desempeño.</w:t>
            </w:r>
          </w:p>
        </w:tc>
      </w:tr>
      <w:tr w:rsidR="00F010E6" w14:paraId="61F728B1" w14:textId="77777777">
        <w:trPr>
          <w:trHeight w:val="1320"/>
        </w:trPr>
        <w:tc>
          <w:tcPr>
            <w:tcW w:w="2910" w:type="dxa"/>
            <w:tcBorders>
              <w:top w:val="nil"/>
              <w:left w:val="single" w:sz="5" w:space="0" w:color="000000"/>
              <w:bottom w:val="single" w:sz="5" w:space="0" w:color="000000"/>
              <w:right w:val="single" w:sz="5" w:space="0" w:color="000000"/>
            </w:tcBorders>
            <w:shd w:val="clear" w:color="auto" w:fill="375623"/>
            <w:tcMar>
              <w:top w:w="0" w:type="dxa"/>
              <w:left w:w="80" w:type="dxa"/>
              <w:bottom w:w="0" w:type="dxa"/>
              <w:right w:w="80" w:type="dxa"/>
            </w:tcMar>
          </w:tcPr>
          <w:p w14:paraId="74E4FE61"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Gestor de Infraestructura</w:t>
            </w:r>
          </w:p>
        </w:tc>
        <w:tc>
          <w:tcPr>
            <w:tcW w:w="5730" w:type="dxa"/>
            <w:tcBorders>
              <w:top w:val="nil"/>
              <w:left w:val="nil"/>
              <w:bottom w:val="single" w:sz="5" w:space="0" w:color="000000"/>
              <w:right w:val="single" w:sz="5" w:space="0" w:color="000000"/>
            </w:tcBorders>
            <w:tcMar>
              <w:top w:w="0" w:type="dxa"/>
              <w:left w:w="80" w:type="dxa"/>
              <w:bottom w:w="0" w:type="dxa"/>
              <w:right w:w="80" w:type="dxa"/>
            </w:tcMar>
          </w:tcPr>
          <w:p w14:paraId="0FFFC361"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Administra servidores, redes y almacenamiento en la nube privada; asegura la disponibilidad y continuidad de los servicios.</w:t>
            </w:r>
          </w:p>
        </w:tc>
      </w:tr>
      <w:tr w:rsidR="00F010E6" w14:paraId="36B44EF3" w14:textId="77777777">
        <w:trPr>
          <w:trHeight w:val="1320"/>
        </w:trPr>
        <w:tc>
          <w:tcPr>
            <w:tcW w:w="2910" w:type="dxa"/>
            <w:tcBorders>
              <w:top w:val="nil"/>
              <w:left w:val="single" w:sz="5" w:space="0" w:color="000000"/>
              <w:bottom w:val="single" w:sz="5" w:space="0" w:color="000000"/>
              <w:right w:val="single" w:sz="5" w:space="0" w:color="000000"/>
            </w:tcBorders>
            <w:shd w:val="clear" w:color="auto" w:fill="375623"/>
            <w:tcMar>
              <w:top w:w="0" w:type="dxa"/>
              <w:left w:w="80" w:type="dxa"/>
              <w:bottom w:w="0" w:type="dxa"/>
              <w:right w:w="80" w:type="dxa"/>
            </w:tcMar>
          </w:tcPr>
          <w:p w14:paraId="61E100F0"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Equipo de Soporte Técnico</w:t>
            </w:r>
          </w:p>
        </w:tc>
        <w:tc>
          <w:tcPr>
            <w:tcW w:w="5730" w:type="dxa"/>
            <w:tcBorders>
              <w:top w:val="nil"/>
              <w:left w:val="nil"/>
              <w:bottom w:val="single" w:sz="5" w:space="0" w:color="000000"/>
              <w:right w:val="single" w:sz="5" w:space="0" w:color="000000"/>
            </w:tcBorders>
            <w:tcMar>
              <w:top w:w="0" w:type="dxa"/>
              <w:left w:w="80" w:type="dxa"/>
              <w:bottom w:w="0" w:type="dxa"/>
              <w:right w:w="80" w:type="dxa"/>
            </w:tcMar>
          </w:tcPr>
          <w:p w14:paraId="0FEDF3F2"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Atiende incidencias y requerimientos de usuarios; aplica procedimientos ITIL para gestión de incidentes, problemas y cambios.</w:t>
            </w:r>
          </w:p>
        </w:tc>
      </w:tr>
      <w:tr w:rsidR="00F010E6" w14:paraId="2DBDD05E" w14:textId="77777777">
        <w:trPr>
          <w:trHeight w:val="1320"/>
        </w:trPr>
        <w:tc>
          <w:tcPr>
            <w:tcW w:w="2910" w:type="dxa"/>
            <w:tcBorders>
              <w:top w:val="nil"/>
              <w:left w:val="single" w:sz="5" w:space="0" w:color="000000"/>
              <w:bottom w:val="single" w:sz="5" w:space="0" w:color="000000"/>
              <w:right w:val="single" w:sz="5" w:space="0" w:color="000000"/>
            </w:tcBorders>
            <w:shd w:val="clear" w:color="auto" w:fill="375623"/>
            <w:tcMar>
              <w:top w:w="0" w:type="dxa"/>
              <w:left w:w="80" w:type="dxa"/>
              <w:bottom w:w="0" w:type="dxa"/>
              <w:right w:w="80" w:type="dxa"/>
            </w:tcMar>
          </w:tcPr>
          <w:p w14:paraId="3E45976B"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Gestor de Seguridad de la Información</w:t>
            </w:r>
          </w:p>
        </w:tc>
        <w:tc>
          <w:tcPr>
            <w:tcW w:w="5730" w:type="dxa"/>
            <w:tcBorders>
              <w:top w:val="nil"/>
              <w:left w:val="nil"/>
              <w:bottom w:val="single" w:sz="5" w:space="0" w:color="000000"/>
              <w:right w:val="single" w:sz="5" w:space="0" w:color="000000"/>
            </w:tcBorders>
            <w:tcMar>
              <w:top w:w="0" w:type="dxa"/>
              <w:left w:w="80" w:type="dxa"/>
              <w:bottom w:w="0" w:type="dxa"/>
              <w:right w:w="80" w:type="dxa"/>
            </w:tcMar>
          </w:tcPr>
          <w:p w14:paraId="0ECEC73B"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Implementa políticas de ciberseguridad, control de accesos, respaldo de datos y gestión de vulnerabilidades.</w:t>
            </w:r>
          </w:p>
        </w:tc>
      </w:tr>
      <w:tr w:rsidR="00F010E6" w14:paraId="50FC4225" w14:textId="77777777">
        <w:trPr>
          <w:trHeight w:val="1320"/>
        </w:trPr>
        <w:tc>
          <w:tcPr>
            <w:tcW w:w="2910" w:type="dxa"/>
            <w:tcBorders>
              <w:top w:val="nil"/>
              <w:left w:val="single" w:sz="5" w:space="0" w:color="000000"/>
              <w:bottom w:val="single" w:sz="5" w:space="0" w:color="000000"/>
              <w:right w:val="single" w:sz="5" w:space="0" w:color="000000"/>
            </w:tcBorders>
            <w:shd w:val="clear" w:color="auto" w:fill="375623"/>
            <w:tcMar>
              <w:top w:w="0" w:type="dxa"/>
              <w:left w:w="80" w:type="dxa"/>
              <w:bottom w:w="0" w:type="dxa"/>
              <w:right w:w="80" w:type="dxa"/>
            </w:tcMar>
          </w:tcPr>
          <w:p w14:paraId="65EF66E2"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Gestor de Activos de TI</w:t>
            </w:r>
          </w:p>
        </w:tc>
        <w:tc>
          <w:tcPr>
            <w:tcW w:w="5730" w:type="dxa"/>
            <w:tcBorders>
              <w:top w:val="nil"/>
              <w:left w:val="nil"/>
              <w:bottom w:val="single" w:sz="5" w:space="0" w:color="000000"/>
              <w:right w:val="single" w:sz="5" w:space="0" w:color="000000"/>
            </w:tcBorders>
            <w:tcMar>
              <w:top w:w="0" w:type="dxa"/>
              <w:left w:w="80" w:type="dxa"/>
              <w:bottom w:w="0" w:type="dxa"/>
              <w:right w:w="80" w:type="dxa"/>
            </w:tcMar>
          </w:tcPr>
          <w:p w14:paraId="2C4AE9E8"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Controla inventarios de hardware y software, garantizando su uso óptimo, licenciamiento y ciclo de vida.</w:t>
            </w:r>
          </w:p>
        </w:tc>
      </w:tr>
    </w:tbl>
    <w:p w14:paraId="78826F9D" w14:textId="77777777" w:rsidR="00F010E6" w:rsidRDefault="00F010E6">
      <w:pPr>
        <w:spacing w:before="240" w:after="240" w:line="360" w:lineRule="auto"/>
        <w:jc w:val="both"/>
        <w:rPr>
          <w:rFonts w:ascii="Arial" w:eastAsia="Arial" w:hAnsi="Arial" w:cs="Arial"/>
          <w:sz w:val="24"/>
          <w:szCs w:val="24"/>
        </w:rPr>
      </w:pPr>
    </w:p>
    <w:p w14:paraId="3F00C2A3" w14:textId="634BC89A"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6D5BB733" w14:textId="77777777" w:rsidR="001E6DD4" w:rsidRDefault="001E6DD4">
      <w:pPr>
        <w:spacing w:before="240" w:after="240" w:line="360" w:lineRule="auto"/>
        <w:jc w:val="both"/>
        <w:rPr>
          <w:rFonts w:ascii="Arial" w:eastAsia="Arial" w:hAnsi="Arial" w:cs="Arial"/>
          <w:sz w:val="24"/>
          <w:szCs w:val="24"/>
        </w:rPr>
      </w:pPr>
    </w:p>
    <w:p w14:paraId="1B37B092"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b/>
          <w:bCs/>
          <w:sz w:val="24"/>
          <w:szCs w:val="24"/>
        </w:rPr>
        <w:lastRenderedPageBreak/>
        <w:t>3.</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sz w:val="24"/>
          <w:szCs w:val="24"/>
        </w:rPr>
        <w:t xml:space="preserve"> Principios aplicados en el modelo</w:t>
      </w:r>
    </w:p>
    <w:p w14:paraId="427DA436"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tbl>
      <w:tblPr>
        <w:tblStyle w:val="a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85"/>
        <w:gridCol w:w="5055"/>
      </w:tblGrid>
      <w:tr w:rsidR="00F010E6" w14:paraId="0E0C77F4" w14:textId="77777777">
        <w:trPr>
          <w:trHeight w:val="585"/>
        </w:trPr>
        <w:tc>
          <w:tcPr>
            <w:tcW w:w="3585" w:type="dxa"/>
            <w:tcBorders>
              <w:top w:val="single" w:sz="5" w:space="0" w:color="000000"/>
              <w:left w:val="single" w:sz="5" w:space="0" w:color="000000"/>
              <w:bottom w:val="single" w:sz="5" w:space="0" w:color="000000"/>
              <w:right w:val="single" w:sz="5" w:space="0" w:color="000000"/>
            </w:tcBorders>
            <w:shd w:val="clear" w:color="auto" w:fill="B4C6E7"/>
            <w:tcMar>
              <w:top w:w="0" w:type="dxa"/>
              <w:left w:w="80" w:type="dxa"/>
              <w:bottom w:w="0" w:type="dxa"/>
              <w:right w:w="80" w:type="dxa"/>
            </w:tcMar>
          </w:tcPr>
          <w:p w14:paraId="691176EB" w14:textId="77777777" w:rsidR="00F010E6" w:rsidRDefault="00313257">
            <w:pPr>
              <w:spacing w:before="240" w:after="0" w:line="276" w:lineRule="auto"/>
              <w:jc w:val="center"/>
              <w:rPr>
                <w:rFonts w:ascii="Arial" w:eastAsia="Arial" w:hAnsi="Arial" w:cs="Arial"/>
                <w:b/>
                <w:bCs/>
                <w:sz w:val="24"/>
                <w:szCs w:val="24"/>
              </w:rPr>
            </w:pPr>
            <w:r>
              <w:rPr>
                <w:rFonts w:ascii="Arial" w:eastAsia="Arial" w:hAnsi="Arial" w:cs="Arial"/>
                <w:b/>
                <w:bCs/>
                <w:sz w:val="24"/>
                <w:szCs w:val="24"/>
              </w:rPr>
              <w:t>Principio</w:t>
            </w:r>
          </w:p>
        </w:tc>
        <w:tc>
          <w:tcPr>
            <w:tcW w:w="5055" w:type="dxa"/>
            <w:tcBorders>
              <w:top w:val="single" w:sz="5" w:space="0" w:color="000000"/>
              <w:left w:val="nil"/>
              <w:bottom w:val="single" w:sz="5" w:space="0" w:color="000000"/>
              <w:right w:val="single" w:sz="5" w:space="0" w:color="000000"/>
            </w:tcBorders>
            <w:shd w:val="clear" w:color="auto" w:fill="B4C6E7"/>
            <w:tcMar>
              <w:top w:w="0" w:type="dxa"/>
              <w:left w:w="80" w:type="dxa"/>
              <w:bottom w:w="0" w:type="dxa"/>
              <w:right w:w="80" w:type="dxa"/>
            </w:tcMar>
          </w:tcPr>
          <w:p w14:paraId="5E0C0443" w14:textId="77777777" w:rsidR="00F010E6" w:rsidRDefault="00313257">
            <w:pPr>
              <w:spacing w:before="240" w:after="0" w:line="276" w:lineRule="auto"/>
              <w:jc w:val="center"/>
              <w:rPr>
                <w:rFonts w:ascii="Arial" w:eastAsia="Arial" w:hAnsi="Arial" w:cs="Arial"/>
                <w:b/>
                <w:bCs/>
                <w:sz w:val="24"/>
                <w:szCs w:val="24"/>
              </w:rPr>
            </w:pPr>
            <w:r>
              <w:rPr>
                <w:rFonts w:ascii="Arial" w:eastAsia="Arial" w:hAnsi="Arial" w:cs="Arial"/>
                <w:b/>
                <w:bCs/>
                <w:sz w:val="24"/>
                <w:szCs w:val="24"/>
              </w:rPr>
              <w:t>Descripción y aplicación</w:t>
            </w:r>
          </w:p>
        </w:tc>
      </w:tr>
      <w:tr w:rsidR="00F010E6" w14:paraId="0D9DBA7A" w14:textId="77777777">
        <w:trPr>
          <w:trHeight w:val="1155"/>
        </w:trPr>
        <w:tc>
          <w:tcPr>
            <w:tcW w:w="3585" w:type="dxa"/>
            <w:tcBorders>
              <w:top w:val="nil"/>
              <w:left w:val="single" w:sz="5" w:space="0" w:color="000000"/>
              <w:bottom w:val="single" w:sz="5" w:space="0" w:color="000000"/>
              <w:right w:val="single" w:sz="5" w:space="0" w:color="000000"/>
            </w:tcBorders>
            <w:shd w:val="clear" w:color="auto" w:fill="305496"/>
            <w:tcMar>
              <w:top w:w="0" w:type="dxa"/>
              <w:left w:w="80" w:type="dxa"/>
              <w:bottom w:w="0" w:type="dxa"/>
              <w:right w:w="80" w:type="dxa"/>
            </w:tcMar>
          </w:tcPr>
          <w:p w14:paraId="0F62778D" w14:textId="77777777" w:rsidR="00F010E6" w:rsidRDefault="00313257">
            <w:pPr>
              <w:spacing w:before="240" w:after="0" w:line="276" w:lineRule="auto"/>
              <w:jc w:val="center"/>
              <w:rPr>
                <w:rFonts w:ascii="Arial" w:eastAsia="Arial" w:hAnsi="Arial" w:cs="Arial"/>
                <w:b/>
                <w:bCs/>
                <w:color w:val="FFFFFF"/>
                <w:sz w:val="28"/>
                <w:szCs w:val="28"/>
              </w:rPr>
            </w:pPr>
            <w:r>
              <w:rPr>
                <w:rFonts w:ascii="Arial" w:eastAsia="Arial" w:hAnsi="Arial" w:cs="Arial"/>
                <w:b/>
                <w:bCs/>
                <w:color w:val="FFFFFF"/>
                <w:sz w:val="28"/>
                <w:szCs w:val="28"/>
              </w:rPr>
              <w:t>Alineación con los objetivos empresariales</w:t>
            </w:r>
          </w:p>
        </w:tc>
        <w:tc>
          <w:tcPr>
            <w:tcW w:w="5055" w:type="dxa"/>
            <w:tcBorders>
              <w:top w:val="nil"/>
              <w:left w:val="nil"/>
              <w:bottom w:val="single" w:sz="5" w:space="0" w:color="000000"/>
              <w:right w:val="single" w:sz="5" w:space="0" w:color="000000"/>
            </w:tcBorders>
            <w:tcMar>
              <w:top w:w="0" w:type="dxa"/>
              <w:left w:w="80" w:type="dxa"/>
              <w:bottom w:w="0" w:type="dxa"/>
              <w:right w:w="80" w:type="dxa"/>
            </w:tcMar>
          </w:tcPr>
          <w:p w14:paraId="4F9120A2"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 xml:space="preserve">Todas las decisiones de TI se orientan a la productividad, satisfacción del cliente y rentabilidad de </w:t>
            </w:r>
            <w:proofErr w:type="spellStart"/>
            <w:r>
              <w:rPr>
                <w:rFonts w:ascii="Arial" w:eastAsia="Arial" w:hAnsi="Arial" w:cs="Arial"/>
                <w:sz w:val="24"/>
                <w:szCs w:val="24"/>
              </w:rPr>
              <w:t>TechSolutions</w:t>
            </w:r>
            <w:proofErr w:type="spellEnd"/>
            <w:r>
              <w:rPr>
                <w:rFonts w:ascii="Arial" w:eastAsia="Arial" w:hAnsi="Arial" w:cs="Arial"/>
                <w:sz w:val="24"/>
                <w:szCs w:val="24"/>
              </w:rPr>
              <w:t>.</w:t>
            </w:r>
          </w:p>
        </w:tc>
      </w:tr>
      <w:tr w:rsidR="00F010E6" w14:paraId="64F14660" w14:textId="77777777">
        <w:trPr>
          <w:trHeight w:val="1155"/>
        </w:trPr>
        <w:tc>
          <w:tcPr>
            <w:tcW w:w="3585" w:type="dxa"/>
            <w:tcBorders>
              <w:top w:val="nil"/>
              <w:left w:val="single" w:sz="5" w:space="0" w:color="000000"/>
              <w:bottom w:val="single" w:sz="5" w:space="0" w:color="000000"/>
              <w:right w:val="single" w:sz="5" w:space="0" w:color="000000"/>
            </w:tcBorders>
            <w:shd w:val="clear" w:color="auto" w:fill="305496"/>
            <w:tcMar>
              <w:top w:w="0" w:type="dxa"/>
              <w:left w:w="80" w:type="dxa"/>
              <w:bottom w:w="0" w:type="dxa"/>
              <w:right w:w="80" w:type="dxa"/>
            </w:tcMar>
          </w:tcPr>
          <w:p w14:paraId="770782B4" w14:textId="77777777" w:rsidR="00F010E6" w:rsidRDefault="00313257">
            <w:pPr>
              <w:spacing w:before="240" w:after="0" w:line="276" w:lineRule="auto"/>
              <w:jc w:val="center"/>
              <w:rPr>
                <w:rFonts w:ascii="Arial" w:eastAsia="Arial" w:hAnsi="Arial" w:cs="Arial"/>
                <w:b/>
                <w:bCs/>
                <w:color w:val="FFFFFF"/>
                <w:sz w:val="28"/>
                <w:szCs w:val="28"/>
              </w:rPr>
            </w:pPr>
            <w:r>
              <w:rPr>
                <w:rFonts w:ascii="Arial" w:eastAsia="Arial" w:hAnsi="Arial" w:cs="Arial"/>
                <w:b/>
                <w:bCs/>
                <w:color w:val="FFFFFF"/>
                <w:sz w:val="28"/>
                <w:szCs w:val="28"/>
              </w:rPr>
              <w:t>Protección de recursos</w:t>
            </w:r>
          </w:p>
        </w:tc>
        <w:tc>
          <w:tcPr>
            <w:tcW w:w="5055" w:type="dxa"/>
            <w:tcBorders>
              <w:top w:val="nil"/>
              <w:left w:val="nil"/>
              <w:bottom w:val="single" w:sz="5" w:space="0" w:color="000000"/>
              <w:right w:val="single" w:sz="5" w:space="0" w:color="000000"/>
            </w:tcBorders>
            <w:tcMar>
              <w:top w:w="0" w:type="dxa"/>
              <w:left w:w="80" w:type="dxa"/>
              <w:bottom w:w="0" w:type="dxa"/>
              <w:right w:w="80" w:type="dxa"/>
            </w:tcMar>
          </w:tcPr>
          <w:p w14:paraId="762E2FEB"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Se aplican políticas de seguridad basadas en ISO/IEC 27001 para proteger la información corporativa y los datos de clientes.</w:t>
            </w:r>
          </w:p>
        </w:tc>
      </w:tr>
      <w:tr w:rsidR="00F010E6" w14:paraId="61E46701" w14:textId="77777777">
        <w:trPr>
          <w:trHeight w:val="1155"/>
        </w:trPr>
        <w:tc>
          <w:tcPr>
            <w:tcW w:w="3585" w:type="dxa"/>
            <w:tcBorders>
              <w:top w:val="nil"/>
              <w:left w:val="single" w:sz="5" w:space="0" w:color="000000"/>
              <w:bottom w:val="single" w:sz="5" w:space="0" w:color="000000"/>
              <w:right w:val="single" w:sz="5" w:space="0" w:color="000000"/>
            </w:tcBorders>
            <w:shd w:val="clear" w:color="auto" w:fill="305496"/>
            <w:tcMar>
              <w:top w:w="0" w:type="dxa"/>
              <w:left w:w="80" w:type="dxa"/>
              <w:bottom w:w="0" w:type="dxa"/>
              <w:right w:w="80" w:type="dxa"/>
            </w:tcMar>
          </w:tcPr>
          <w:p w14:paraId="1725C265" w14:textId="77777777" w:rsidR="00F010E6" w:rsidRDefault="00313257">
            <w:pPr>
              <w:spacing w:before="240" w:after="0" w:line="276" w:lineRule="auto"/>
              <w:jc w:val="center"/>
              <w:rPr>
                <w:rFonts w:ascii="Arial" w:eastAsia="Arial" w:hAnsi="Arial" w:cs="Arial"/>
                <w:b/>
                <w:bCs/>
                <w:color w:val="FFFFFF"/>
                <w:sz w:val="28"/>
                <w:szCs w:val="28"/>
              </w:rPr>
            </w:pPr>
            <w:r>
              <w:rPr>
                <w:rFonts w:ascii="Arial" w:eastAsia="Arial" w:hAnsi="Arial" w:cs="Arial"/>
                <w:b/>
                <w:bCs/>
                <w:color w:val="FFFFFF"/>
                <w:sz w:val="28"/>
                <w:szCs w:val="28"/>
              </w:rPr>
              <w:t>Confianza</w:t>
            </w:r>
          </w:p>
        </w:tc>
        <w:tc>
          <w:tcPr>
            <w:tcW w:w="5055" w:type="dxa"/>
            <w:tcBorders>
              <w:top w:val="nil"/>
              <w:left w:val="nil"/>
              <w:bottom w:val="single" w:sz="5" w:space="0" w:color="000000"/>
              <w:right w:val="single" w:sz="5" w:space="0" w:color="000000"/>
            </w:tcBorders>
            <w:tcMar>
              <w:top w:w="0" w:type="dxa"/>
              <w:left w:w="80" w:type="dxa"/>
              <w:bottom w:w="0" w:type="dxa"/>
              <w:right w:w="80" w:type="dxa"/>
            </w:tcMar>
          </w:tcPr>
          <w:p w14:paraId="1E9F574A"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Se mantiene integridad, disponibilidad y confidencialidad mediante monitoreo constante y auditorías internas (COBIT).</w:t>
            </w:r>
          </w:p>
        </w:tc>
      </w:tr>
      <w:tr w:rsidR="00F010E6" w14:paraId="5235FADB" w14:textId="77777777">
        <w:trPr>
          <w:trHeight w:val="1155"/>
        </w:trPr>
        <w:tc>
          <w:tcPr>
            <w:tcW w:w="3585" w:type="dxa"/>
            <w:tcBorders>
              <w:top w:val="nil"/>
              <w:left w:val="single" w:sz="5" w:space="0" w:color="000000"/>
              <w:bottom w:val="single" w:sz="5" w:space="0" w:color="000000"/>
              <w:right w:val="single" w:sz="5" w:space="0" w:color="000000"/>
            </w:tcBorders>
            <w:shd w:val="clear" w:color="auto" w:fill="305496"/>
            <w:tcMar>
              <w:top w:w="0" w:type="dxa"/>
              <w:left w:w="80" w:type="dxa"/>
              <w:bottom w:w="0" w:type="dxa"/>
              <w:right w:w="80" w:type="dxa"/>
            </w:tcMar>
          </w:tcPr>
          <w:p w14:paraId="12508940" w14:textId="77777777" w:rsidR="00F010E6" w:rsidRDefault="00313257">
            <w:pPr>
              <w:spacing w:before="240" w:after="0" w:line="276" w:lineRule="auto"/>
              <w:jc w:val="center"/>
              <w:rPr>
                <w:rFonts w:ascii="Arial" w:eastAsia="Arial" w:hAnsi="Arial" w:cs="Arial"/>
                <w:b/>
                <w:bCs/>
                <w:color w:val="FFFFFF"/>
                <w:sz w:val="28"/>
                <w:szCs w:val="28"/>
              </w:rPr>
            </w:pPr>
            <w:r>
              <w:rPr>
                <w:rFonts w:ascii="Arial" w:eastAsia="Arial" w:hAnsi="Arial" w:cs="Arial"/>
                <w:b/>
                <w:bCs/>
                <w:color w:val="FFFFFF"/>
                <w:sz w:val="28"/>
                <w:szCs w:val="28"/>
              </w:rPr>
              <w:t>Eficiencia operativa</w:t>
            </w:r>
          </w:p>
        </w:tc>
        <w:tc>
          <w:tcPr>
            <w:tcW w:w="5055" w:type="dxa"/>
            <w:tcBorders>
              <w:top w:val="nil"/>
              <w:left w:val="nil"/>
              <w:bottom w:val="single" w:sz="5" w:space="0" w:color="000000"/>
              <w:right w:val="single" w:sz="5" w:space="0" w:color="000000"/>
            </w:tcBorders>
            <w:tcMar>
              <w:top w:w="0" w:type="dxa"/>
              <w:left w:w="80" w:type="dxa"/>
              <w:bottom w:w="0" w:type="dxa"/>
              <w:right w:w="80" w:type="dxa"/>
            </w:tcMar>
          </w:tcPr>
          <w:p w14:paraId="36AE27B4"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Procesos automatizados, métricas de desempeño (</w:t>
            </w:r>
            <w:proofErr w:type="spellStart"/>
            <w:r>
              <w:rPr>
                <w:rFonts w:ascii="Arial" w:eastAsia="Arial" w:hAnsi="Arial" w:cs="Arial"/>
                <w:sz w:val="24"/>
                <w:szCs w:val="24"/>
              </w:rPr>
              <w:t>KPIs</w:t>
            </w:r>
            <w:proofErr w:type="spellEnd"/>
            <w:r>
              <w:rPr>
                <w:rFonts w:ascii="Arial" w:eastAsia="Arial" w:hAnsi="Arial" w:cs="Arial"/>
                <w:sz w:val="24"/>
                <w:szCs w:val="24"/>
              </w:rPr>
              <w:t>) y mejora continua (CMMI) para reducir tiempos de respuesta y costos.</w:t>
            </w:r>
          </w:p>
        </w:tc>
      </w:tr>
    </w:tbl>
    <w:p w14:paraId="7BE594EC" w14:textId="77777777" w:rsidR="00F010E6" w:rsidRDefault="00F010E6">
      <w:pPr>
        <w:spacing w:before="240" w:after="240" w:line="360" w:lineRule="auto"/>
        <w:jc w:val="both"/>
        <w:rPr>
          <w:rFonts w:ascii="Arial" w:eastAsia="Arial" w:hAnsi="Arial" w:cs="Arial"/>
          <w:sz w:val="24"/>
          <w:szCs w:val="24"/>
        </w:rPr>
      </w:pPr>
    </w:p>
    <w:p w14:paraId="318F1B1F" w14:textId="77777777" w:rsidR="00F010E6" w:rsidRDefault="00F010E6">
      <w:pPr>
        <w:spacing w:before="240" w:after="240" w:line="360" w:lineRule="auto"/>
        <w:jc w:val="both"/>
        <w:rPr>
          <w:rFonts w:ascii="Arial" w:eastAsia="Arial" w:hAnsi="Arial" w:cs="Arial"/>
          <w:sz w:val="24"/>
          <w:szCs w:val="24"/>
        </w:rPr>
      </w:pPr>
    </w:p>
    <w:p w14:paraId="5A1031A0" w14:textId="77777777" w:rsidR="00F010E6" w:rsidRDefault="00F010E6">
      <w:pPr>
        <w:spacing w:before="240" w:after="240" w:line="360" w:lineRule="auto"/>
        <w:jc w:val="both"/>
        <w:rPr>
          <w:rFonts w:ascii="Arial" w:eastAsia="Arial" w:hAnsi="Arial" w:cs="Arial"/>
          <w:sz w:val="24"/>
          <w:szCs w:val="24"/>
        </w:rPr>
      </w:pPr>
    </w:p>
    <w:p w14:paraId="3A4CBE43" w14:textId="77777777" w:rsidR="00F010E6" w:rsidRDefault="00F010E6">
      <w:pPr>
        <w:spacing w:before="240" w:after="240" w:line="360" w:lineRule="auto"/>
        <w:jc w:val="both"/>
        <w:rPr>
          <w:rFonts w:ascii="Arial" w:eastAsia="Arial" w:hAnsi="Arial" w:cs="Arial"/>
          <w:sz w:val="24"/>
          <w:szCs w:val="24"/>
        </w:rPr>
      </w:pPr>
    </w:p>
    <w:p w14:paraId="2D2BE2D6" w14:textId="77777777" w:rsidR="00F010E6" w:rsidRDefault="00F010E6">
      <w:pPr>
        <w:spacing w:before="240" w:after="240" w:line="360" w:lineRule="auto"/>
        <w:jc w:val="both"/>
        <w:rPr>
          <w:rFonts w:ascii="Arial" w:eastAsia="Arial" w:hAnsi="Arial" w:cs="Arial"/>
          <w:sz w:val="24"/>
          <w:szCs w:val="24"/>
        </w:rPr>
      </w:pPr>
    </w:p>
    <w:p w14:paraId="07AA050F" w14:textId="77777777" w:rsidR="00F010E6" w:rsidRDefault="00F010E6">
      <w:pPr>
        <w:spacing w:before="240" w:after="240" w:line="360" w:lineRule="auto"/>
        <w:jc w:val="both"/>
        <w:rPr>
          <w:rFonts w:ascii="Arial" w:eastAsia="Arial" w:hAnsi="Arial" w:cs="Arial"/>
          <w:sz w:val="24"/>
          <w:szCs w:val="24"/>
        </w:rPr>
      </w:pPr>
    </w:p>
    <w:p w14:paraId="2090D7B5" w14:textId="77777777" w:rsidR="00F010E6" w:rsidRDefault="00F010E6">
      <w:pPr>
        <w:spacing w:before="240" w:after="240" w:line="360" w:lineRule="auto"/>
        <w:jc w:val="both"/>
        <w:rPr>
          <w:rFonts w:ascii="Arial" w:eastAsia="Arial" w:hAnsi="Arial" w:cs="Arial"/>
          <w:sz w:val="24"/>
          <w:szCs w:val="24"/>
        </w:rPr>
      </w:pPr>
    </w:p>
    <w:p w14:paraId="6FB00AA0" w14:textId="781891E0" w:rsidR="00F010E6" w:rsidRDefault="00F010E6">
      <w:pPr>
        <w:spacing w:before="240" w:after="240" w:line="360" w:lineRule="auto"/>
        <w:jc w:val="both"/>
        <w:rPr>
          <w:rFonts w:ascii="Arial" w:eastAsia="Arial" w:hAnsi="Arial" w:cs="Arial"/>
          <w:sz w:val="24"/>
          <w:szCs w:val="24"/>
        </w:rPr>
      </w:pPr>
    </w:p>
    <w:p w14:paraId="61A12B78" w14:textId="77777777" w:rsidR="001E6DD4" w:rsidRDefault="001E6DD4">
      <w:pPr>
        <w:spacing w:before="240" w:after="240" w:line="360" w:lineRule="auto"/>
        <w:jc w:val="both"/>
        <w:rPr>
          <w:rFonts w:ascii="Arial" w:eastAsia="Arial" w:hAnsi="Arial" w:cs="Arial"/>
          <w:sz w:val="24"/>
          <w:szCs w:val="24"/>
        </w:rPr>
      </w:pPr>
    </w:p>
    <w:p w14:paraId="4F948E17" w14:textId="77777777" w:rsidR="00F010E6" w:rsidRDefault="00F010E6">
      <w:pPr>
        <w:spacing w:before="240" w:after="240" w:line="360" w:lineRule="auto"/>
        <w:jc w:val="both"/>
        <w:rPr>
          <w:rFonts w:ascii="Arial" w:eastAsia="Arial" w:hAnsi="Arial" w:cs="Arial"/>
          <w:sz w:val="24"/>
          <w:szCs w:val="24"/>
        </w:rPr>
      </w:pPr>
    </w:p>
    <w:p w14:paraId="111BECD6" w14:textId="7F0D8669"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b/>
          <w:bCs/>
          <w:sz w:val="24"/>
          <w:szCs w:val="24"/>
        </w:rPr>
        <w:t>4.</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sz w:val="24"/>
          <w:szCs w:val="24"/>
        </w:rPr>
        <w:t>Requerimientos esenciale</w:t>
      </w:r>
      <w:r w:rsidR="001E6DD4">
        <w:rPr>
          <w:rFonts w:ascii="Arial" w:eastAsia="Arial" w:hAnsi="Arial" w:cs="Arial"/>
          <w:sz w:val="24"/>
          <w:szCs w:val="24"/>
        </w:rPr>
        <w:t>s</w:t>
      </w:r>
    </w:p>
    <w:p w14:paraId="77599778" w14:textId="17752A2D" w:rsidR="00F010E6" w:rsidRPr="001E6DD4" w:rsidRDefault="00313257" w:rsidP="001E6DD4">
      <w:pPr>
        <w:pStyle w:val="Prrafodelista"/>
        <w:numPr>
          <w:ilvl w:val="0"/>
          <w:numId w:val="7"/>
        </w:numPr>
        <w:spacing w:before="240" w:after="240" w:line="360" w:lineRule="auto"/>
        <w:jc w:val="both"/>
        <w:rPr>
          <w:rFonts w:ascii="Arial" w:eastAsia="Arial" w:hAnsi="Arial" w:cs="Arial"/>
          <w:sz w:val="24"/>
          <w:szCs w:val="24"/>
        </w:rPr>
      </w:pPr>
      <w:r w:rsidRPr="001E6DD4">
        <w:rPr>
          <w:rFonts w:ascii="Arial" w:eastAsia="Arial" w:hAnsi="Arial" w:cs="Arial"/>
          <w:sz w:val="24"/>
          <w:szCs w:val="24"/>
        </w:rPr>
        <w:t>Infraestructura tecnológica robusta: servidores dedicados, red redundante y políticas de respaldo en la nube privada.</w:t>
      </w:r>
    </w:p>
    <w:p w14:paraId="4314CC9B" w14:textId="41AB3EAD" w:rsidR="00F010E6" w:rsidRPr="001E6DD4" w:rsidRDefault="00313257" w:rsidP="001E6DD4">
      <w:pPr>
        <w:pStyle w:val="Prrafodelista"/>
        <w:numPr>
          <w:ilvl w:val="0"/>
          <w:numId w:val="7"/>
        </w:numPr>
        <w:spacing w:before="240" w:after="240" w:line="360" w:lineRule="auto"/>
        <w:jc w:val="both"/>
        <w:rPr>
          <w:rFonts w:ascii="Arial" w:eastAsia="Arial" w:hAnsi="Arial" w:cs="Arial"/>
          <w:sz w:val="24"/>
          <w:szCs w:val="24"/>
        </w:rPr>
      </w:pPr>
      <w:r w:rsidRPr="001E6DD4">
        <w:rPr>
          <w:rFonts w:ascii="Arial" w:eastAsia="Arial" w:hAnsi="Arial" w:cs="Arial"/>
          <w:sz w:val="24"/>
          <w:szCs w:val="24"/>
        </w:rPr>
        <w:t>Sistema de Gestión de Servicios (SGS): basado en ISO/IEC 20000, que garantice procesos estandarizados.</w:t>
      </w:r>
    </w:p>
    <w:p w14:paraId="0FFA3373" w14:textId="04D2A8A3" w:rsidR="00F010E6" w:rsidRPr="001E6DD4" w:rsidRDefault="00313257" w:rsidP="001E6DD4">
      <w:pPr>
        <w:pStyle w:val="Prrafodelista"/>
        <w:numPr>
          <w:ilvl w:val="0"/>
          <w:numId w:val="7"/>
        </w:numPr>
        <w:spacing w:before="240" w:after="240" w:line="360" w:lineRule="auto"/>
        <w:jc w:val="both"/>
        <w:rPr>
          <w:rFonts w:ascii="Arial" w:eastAsia="Arial" w:hAnsi="Arial" w:cs="Arial"/>
          <w:sz w:val="24"/>
          <w:szCs w:val="24"/>
        </w:rPr>
      </w:pPr>
      <w:r w:rsidRPr="001E6DD4">
        <w:rPr>
          <w:rFonts w:ascii="Arial" w:eastAsia="Arial" w:hAnsi="Arial" w:cs="Arial"/>
          <w:sz w:val="24"/>
          <w:szCs w:val="24"/>
        </w:rPr>
        <w:t xml:space="preserve">Seguridad de la información: controles de acceso, encriptación, autenticación </w:t>
      </w:r>
      <w:proofErr w:type="spellStart"/>
      <w:r w:rsidRPr="001E6DD4">
        <w:rPr>
          <w:rFonts w:ascii="Arial" w:eastAsia="Arial" w:hAnsi="Arial" w:cs="Arial"/>
          <w:sz w:val="24"/>
          <w:szCs w:val="24"/>
        </w:rPr>
        <w:t>multifactor</w:t>
      </w:r>
      <w:proofErr w:type="spellEnd"/>
      <w:r w:rsidRPr="001E6DD4">
        <w:rPr>
          <w:rFonts w:ascii="Arial" w:eastAsia="Arial" w:hAnsi="Arial" w:cs="Arial"/>
          <w:sz w:val="24"/>
          <w:szCs w:val="24"/>
        </w:rPr>
        <w:t xml:space="preserve"> y políticas de gestión de incidentes.</w:t>
      </w:r>
    </w:p>
    <w:p w14:paraId="0C946DCA" w14:textId="34F03F79" w:rsidR="00F010E6" w:rsidRPr="001E6DD4" w:rsidRDefault="00313257" w:rsidP="001E6DD4">
      <w:pPr>
        <w:pStyle w:val="Prrafodelista"/>
        <w:numPr>
          <w:ilvl w:val="0"/>
          <w:numId w:val="7"/>
        </w:numPr>
        <w:spacing w:before="240" w:after="240" w:line="360" w:lineRule="auto"/>
        <w:jc w:val="both"/>
        <w:rPr>
          <w:rFonts w:ascii="Arial" w:eastAsia="Arial" w:hAnsi="Arial" w:cs="Arial"/>
          <w:sz w:val="24"/>
          <w:szCs w:val="24"/>
        </w:rPr>
      </w:pPr>
      <w:r w:rsidRPr="001E6DD4">
        <w:rPr>
          <w:rFonts w:ascii="Arial" w:eastAsia="Arial" w:hAnsi="Arial" w:cs="Arial"/>
          <w:sz w:val="24"/>
          <w:szCs w:val="24"/>
        </w:rPr>
        <w:t>Políticas de continuidad del negocio: planes de recuperación ante desastres y pruebas periódicas de contingencia.</w:t>
      </w:r>
    </w:p>
    <w:p w14:paraId="35449BE6" w14:textId="0B875731" w:rsidR="00F010E6" w:rsidRPr="001E6DD4" w:rsidRDefault="00313257" w:rsidP="001E6DD4">
      <w:pPr>
        <w:pStyle w:val="Prrafodelista"/>
        <w:numPr>
          <w:ilvl w:val="0"/>
          <w:numId w:val="7"/>
        </w:numPr>
        <w:spacing w:before="240" w:after="240" w:line="360" w:lineRule="auto"/>
        <w:jc w:val="both"/>
        <w:rPr>
          <w:rFonts w:ascii="Arial" w:eastAsia="Arial" w:hAnsi="Arial" w:cs="Arial"/>
          <w:sz w:val="24"/>
          <w:szCs w:val="24"/>
        </w:rPr>
      </w:pPr>
      <w:r w:rsidRPr="001E6DD4">
        <w:rPr>
          <w:rFonts w:ascii="Arial" w:eastAsia="Arial" w:hAnsi="Arial" w:cs="Arial"/>
          <w:sz w:val="24"/>
          <w:szCs w:val="24"/>
        </w:rPr>
        <w:t>Capacitación del personal: formación continua en ITIL y ciberseguridad para mantener la competencia técnica del equipo.</w:t>
      </w:r>
    </w:p>
    <w:p w14:paraId="241DA544"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2059EBF6"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b/>
          <w:bCs/>
          <w:sz w:val="24"/>
          <w:szCs w:val="24"/>
        </w:rPr>
        <w:t>5.</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sz w:val="24"/>
          <w:szCs w:val="24"/>
        </w:rPr>
        <w:t>Actividades de control</w:t>
      </w:r>
    </w:p>
    <w:tbl>
      <w:tblPr>
        <w:tblStyle w:val="a2"/>
        <w:tblW w:w="8838"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3345"/>
        <w:gridCol w:w="3374"/>
        <w:gridCol w:w="2119"/>
      </w:tblGrid>
      <w:tr w:rsidR="00F010E6" w14:paraId="1A309B6E" w14:textId="77777777" w:rsidTr="001E6DD4">
        <w:trPr>
          <w:trHeight w:val="420"/>
        </w:trPr>
        <w:tc>
          <w:tcPr>
            <w:tcW w:w="3345" w:type="dxa"/>
            <w:tcBorders>
              <w:top w:val="single" w:sz="5" w:space="0" w:color="000000"/>
              <w:left w:val="single" w:sz="5" w:space="0" w:color="000000"/>
              <w:bottom w:val="single" w:sz="5" w:space="0" w:color="000000"/>
              <w:right w:val="single" w:sz="5" w:space="0" w:color="000000"/>
            </w:tcBorders>
            <w:shd w:val="clear" w:color="auto" w:fill="AEAAAA"/>
            <w:tcMar>
              <w:top w:w="0" w:type="dxa"/>
              <w:left w:w="80" w:type="dxa"/>
              <w:bottom w:w="0" w:type="dxa"/>
              <w:right w:w="80" w:type="dxa"/>
            </w:tcMar>
          </w:tcPr>
          <w:p w14:paraId="34BDF012" w14:textId="77777777" w:rsidR="00F010E6" w:rsidRDefault="00313257">
            <w:pPr>
              <w:spacing w:before="240" w:after="0" w:line="276" w:lineRule="auto"/>
              <w:jc w:val="center"/>
              <w:rPr>
                <w:rFonts w:ascii="Arial" w:eastAsia="Arial" w:hAnsi="Arial" w:cs="Arial"/>
                <w:b/>
                <w:bCs/>
                <w:sz w:val="24"/>
                <w:szCs w:val="24"/>
              </w:rPr>
            </w:pPr>
            <w:r>
              <w:rPr>
                <w:rFonts w:ascii="Arial" w:eastAsia="Arial" w:hAnsi="Arial" w:cs="Arial"/>
                <w:b/>
                <w:bCs/>
                <w:sz w:val="24"/>
                <w:szCs w:val="24"/>
              </w:rPr>
              <w:t>Actividad</w:t>
            </w:r>
          </w:p>
        </w:tc>
        <w:tc>
          <w:tcPr>
            <w:tcW w:w="3374" w:type="dxa"/>
            <w:tcBorders>
              <w:top w:val="single" w:sz="5" w:space="0" w:color="000000"/>
              <w:left w:val="nil"/>
              <w:bottom w:val="single" w:sz="5" w:space="0" w:color="000000"/>
              <w:right w:val="single" w:sz="5" w:space="0" w:color="000000"/>
            </w:tcBorders>
            <w:shd w:val="clear" w:color="auto" w:fill="AEAAAA"/>
            <w:tcMar>
              <w:top w:w="0" w:type="dxa"/>
              <w:left w:w="80" w:type="dxa"/>
              <w:bottom w:w="0" w:type="dxa"/>
              <w:right w:w="80" w:type="dxa"/>
            </w:tcMar>
          </w:tcPr>
          <w:p w14:paraId="75AFA2C0" w14:textId="77777777" w:rsidR="00F010E6" w:rsidRDefault="00313257">
            <w:pPr>
              <w:spacing w:before="240" w:after="0" w:line="276" w:lineRule="auto"/>
              <w:jc w:val="center"/>
              <w:rPr>
                <w:rFonts w:ascii="Arial" w:eastAsia="Arial" w:hAnsi="Arial" w:cs="Arial"/>
                <w:b/>
                <w:bCs/>
                <w:sz w:val="24"/>
                <w:szCs w:val="24"/>
              </w:rPr>
            </w:pPr>
            <w:r>
              <w:rPr>
                <w:rFonts w:ascii="Arial" w:eastAsia="Arial" w:hAnsi="Arial" w:cs="Arial"/>
                <w:b/>
                <w:bCs/>
                <w:sz w:val="24"/>
                <w:szCs w:val="24"/>
              </w:rPr>
              <w:t>Descripción</w:t>
            </w:r>
          </w:p>
        </w:tc>
        <w:tc>
          <w:tcPr>
            <w:tcW w:w="2119" w:type="dxa"/>
            <w:tcBorders>
              <w:top w:val="single" w:sz="5" w:space="0" w:color="000000"/>
              <w:left w:val="nil"/>
              <w:bottom w:val="single" w:sz="5" w:space="0" w:color="000000"/>
              <w:right w:val="single" w:sz="5" w:space="0" w:color="000000"/>
            </w:tcBorders>
            <w:shd w:val="clear" w:color="auto" w:fill="AEAAAA"/>
            <w:tcMar>
              <w:top w:w="0" w:type="dxa"/>
              <w:left w:w="80" w:type="dxa"/>
              <w:bottom w:w="0" w:type="dxa"/>
              <w:right w:w="80" w:type="dxa"/>
            </w:tcMar>
          </w:tcPr>
          <w:p w14:paraId="6E039323" w14:textId="77777777" w:rsidR="00F010E6" w:rsidRDefault="00313257">
            <w:pPr>
              <w:spacing w:before="240" w:after="0" w:line="276" w:lineRule="auto"/>
              <w:jc w:val="center"/>
              <w:rPr>
                <w:rFonts w:ascii="Arial" w:eastAsia="Arial" w:hAnsi="Arial" w:cs="Arial"/>
                <w:b/>
                <w:bCs/>
                <w:sz w:val="24"/>
                <w:szCs w:val="24"/>
              </w:rPr>
            </w:pPr>
            <w:r>
              <w:rPr>
                <w:rFonts w:ascii="Arial" w:eastAsia="Arial" w:hAnsi="Arial" w:cs="Arial"/>
                <w:b/>
                <w:bCs/>
                <w:sz w:val="24"/>
                <w:szCs w:val="24"/>
              </w:rPr>
              <w:t>Frecuencia</w:t>
            </w:r>
          </w:p>
        </w:tc>
      </w:tr>
      <w:tr w:rsidR="00F010E6" w14:paraId="3303D919" w14:textId="77777777" w:rsidTr="001E6DD4">
        <w:trPr>
          <w:trHeight w:val="870"/>
        </w:trPr>
        <w:tc>
          <w:tcPr>
            <w:tcW w:w="3345" w:type="dxa"/>
            <w:tcBorders>
              <w:top w:val="nil"/>
              <w:left w:val="single" w:sz="5" w:space="0" w:color="000000"/>
              <w:bottom w:val="single" w:sz="5" w:space="0" w:color="000000"/>
              <w:right w:val="single" w:sz="5" w:space="0" w:color="000000"/>
            </w:tcBorders>
            <w:shd w:val="clear" w:color="auto" w:fill="323E4F"/>
            <w:tcMar>
              <w:top w:w="0" w:type="dxa"/>
              <w:left w:w="80" w:type="dxa"/>
              <w:bottom w:w="0" w:type="dxa"/>
              <w:right w:w="80" w:type="dxa"/>
            </w:tcMar>
          </w:tcPr>
          <w:p w14:paraId="55C78C39"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Auditorías internas de TI</w:t>
            </w:r>
          </w:p>
        </w:tc>
        <w:tc>
          <w:tcPr>
            <w:tcW w:w="3374" w:type="dxa"/>
            <w:tcBorders>
              <w:top w:val="nil"/>
              <w:left w:val="nil"/>
              <w:bottom w:val="single" w:sz="5" w:space="0" w:color="000000"/>
              <w:right w:val="single" w:sz="5" w:space="0" w:color="000000"/>
            </w:tcBorders>
            <w:tcMar>
              <w:top w:w="0" w:type="dxa"/>
              <w:left w:w="80" w:type="dxa"/>
              <w:bottom w:w="0" w:type="dxa"/>
              <w:right w:w="80" w:type="dxa"/>
            </w:tcMar>
          </w:tcPr>
          <w:p w14:paraId="635B4890"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 xml:space="preserve">Verificación de cumplimiento de políticas, </w:t>
            </w:r>
            <w:proofErr w:type="spellStart"/>
            <w:r>
              <w:rPr>
                <w:rFonts w:ascii="Arial" w:eastAsia="Arial" w:hAnsi="Arial" w:cs="Arial"/>
                <w:sz w:val="24"/>
                <w:szCs w:val="24"/>
              </w:rPr>
              <w:t>SLAs</w:t>
            </w:r>
            <w:proofErr w:type="spellEnd"/>
            <w:r>
              <w:rPr>
                <w:rFonts w:ascii="Arial" w:eastAsia="Arial" w:hAnsi="Arial" w:cs="Arial"/>
                <w:sz w:val="24"/>
                <w:szCs w:val="24"/>
              </w:rPr>
              <w:t xml:space="preserve"> y normativas ISO/COBIT.</w:t>
            </w:r>
          </w:p>
        </w:tc>
        <w:tc>
          <w:tcPr>
            <w:tcW w:w="2119" w:type="dxa"/>
            <w:tcBorders>
              <w:top w:val="nil"/>
              <w:left w:val="nil"/>
              <w:bottom w:val="single" w:sz="5" w:space="0" w:color="000000"/>
              <w:right w:val="single" w:sz="5" w:space="0" w:color="000000"/>
            </w:tcBorders>
            <w:tcMar>
              <w:top w:w="0" w:type="dxa"/>
              <w:left w:w="80" w:type="dxa"/>
              <w:bottom w:w="0" w:type="dxa"/>
              <w:right w:w="80" w:type="dxa"/>
            </w:tcMar>
          </w:tcPr>
          <w:p w14:paraId="3FFB9EB2" w14:textId="77777777" w:rsidR="00F010E6" w:rsidRDefault="00313257">
            <w:pPr>
              <w:spacing w:before="240" w:after="0" w:line="276" w:lineRule="auto"/>
              <w:jc w:val="center"/>
              <w:rPr>
                <w:rFonts w:ascii="Arial" w:eastAsia="Arial" w:hAnsi="Arial" w:cs="Arial"/>
                <w:sz w:val="24"/>
                <w:szCs w:val="24"/>
              </w:rPr>
            </w:pPr>
            <w:r>
              <w:rPr>
                <w:rFonts w:ascii="Arial" w:eastAsia="Arial" w:hAnsi="Arial" w:cs="Arial"/>
                <w:sz w:val="24"/>
                <w:szCs w:val="24"/>
              </w:rPr>
              <w:t>Semestral</w:t>
            </w:r>
          </w:p>
        </w:tc>
      </w:tr>
      <w:tr w:rsidR="00F010E6" w14:paraId="0E966673" w14:textId="77777777" w:rsidTr="001E6DD4">
        <w:trPr>
          <w:trHeight w:val="870"/>
        </w:trPr>
        <w:tc>
          <w:tcPr>
            <w:tcW w:w="3345" w:type="dxa"/>
            <w:tcBorders>
              <w:top w:val="nil"/>
              <w:left w:val="single" w:sz="5" w:space="0" w:color="000000"/>
              <w:bottom w:val="single" w:sz="5" w:space="0" w:color="000000"/>
              <w:right w:val="single" w:sz="5" w:space="0" w:color="000000"/>
            </w:tcBorders>
            <w:shd w:val="clear" w:color="auto" w:fill="323E4F"/>
            <w:tcMar>
              <w:top w:w="0" w:type="dxa"/>
              <w:left w:w="80" w:type="dxa"/>
              <w:bottom w:w="0" w:type="dxa"/>
              <w:right w:w="80" w:type="dxa"/>
            </w:tcMar>
          </w:tcPr>
          <w:p w14:paraId="35AC6408"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Monitoreo de riesgos TI</w:t>
            </w:r>
          </w:p>
        </w:tc>
        <w:tc>
          <w:tcPr>
            <w:tcW w:w="3374" w:type="dxa"/>
            <w:tcBorders>
              <w:top w:val="nil"/>
              <w:left w:val="nil"/>
              <w:bottom w:val="single" w:sz="5" w:space="0" w:color="000000"/>
              <w:right w:val="single" w:sz="5" w:space="0" w:color="000000"/>
            </w:tcBorders>
            <w:tcMar>
              <w:top w:w="0" w:type="dxa"/>
              <w:left w:w="80" w:type="dxa"/>
              <w:bottom w:w="0" w:type="dxa"/>
              <w:right w:w="80" w:type="dxa"/>
            </w:tcMar>
          </w:tcPr>
          <w:p w14:paraId="3186597A"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Evaluación continua de vulnerabilidades e incidentes detectados por el SOC.</w:t>
            </w:r>
          </w:p>
        </w:tc>
        <w:tc>
          <w:tcPr>
            <w:tcW w:w="2119" w:type="dxa"/>
            <w:tcBorders>
              <w:top w:val="nil"/>
              <w:left w:val="nil"/>
              <w:bottom w:val="single" w:sz="5" w:space="0" w:color="000000"/>
              <w:right w:val="single" w:sz="5" w:space="0" w:color="000000"/>
            </w:tcBorders>
            <w:tcMar>
              <w:top w:w="0" w:type="dxa"/>
              <w:left w:w="80" w:type="dxa"/>
              <w:bottom w:w="0" w:type="dxa"/>
              <w:right w:w="80" w:type="dxa"/>
            </w:tcMar>
          </w:tcPr>
          <w:p w14:paraId="0A237D9B" w14:textId="77777777" w:rsidR="00F010E6" w:rsidRDefault="00313257">
            <w:pPr>
              <w:spacing w:before="240" w:after="0" w:line="276" w:lineRule="auto"/>
              <w:jc w:val="center"/>
              <w:rPr>
                <w:rFonts w:ascii="Arial" w:eastAsia="Arial" w:hAnsi="Arial" w:cs="Arial"/>
                <w:sz w:val="24"/>
                <w:szCs w:val="24"/>
              </w:rPr>
            </w:pPr>
            <w:r>
              <w:rPr>
                <w:rFonts w:ascii="Arial" w:eastAsia="Arial" w:hAnsi="Arial" w:cs="Arial"/>
                <w:sz w:val="24"/>
                <w:szCs w:val="24"/>
              </w:rPr>
              <w:t>Permanente</w:t>
            </w:r>
          </w:p>
        </w:tc>
      </w:tr>
      <w:tr w:rsidR="00F010E6" w14:paraId="04EBDBFF" w14:textId="77777777" w:rsidTr="001E6DD4">
        <w:trPr>
          <w:trHeight w:val="870"/>
        </w:trPr>
        <w:tc>
          <w:tcPr>
            <w:tcW w:w="3345" w:type="dxa"/>
            <w:tcBorders>
              <w:top w:val="nil"/>
              <w:left w:val="single" w:sz="5" w:space="0" w:color="000000"/>
              <w:bottom w:val="single" w:sz="5" w:space="0" w:color="000000"/>
              <w:right w:val="single" w:sz="5" w:space="0" w:color="000000"/>
            </w:tcBorders>
            <w:shd w:val="clear" w:color="auto" w:fill="323E4F"/>
            <w:tcMar>
              <w:top w:w="0" w:type="dxa"/>
              <w:left w:w="80" w:type="dxa"/>
              <w:bottom w:w="0" w:type="dxa"/>
              <w:right w:w="80" w:type="dxa"/>
            </w:tcMar>
          </w:tcPr>
          <w:p w14:paraId="3AE4F3AA"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Gestión de incidentes</w:t>
            </w:r>
          </w:p>
        </w:tc>
        <w:tc>
          <w:tcPr>
            <w:tcW w:w="3374" w:type="dxa"/>
            <w:tcBorders>
              <w:top w:val="nil"/>
              <w:left w:val="nil"/>
              <w:bottom w:val="single" w:sz="5" w:space="0" w:color="000000"/>
              <w:right w:val="single" w:sz="5" w:space="0" w:color="000000"/>
            </w:tcBorders>
            <w:tcMar>
              <w:top w:w="0" w:type="dxa"/>
              <w:left w:w="80" w:type="dxa"/>
              <w:bottom w:w="0" w:type="dxa"/>
              <w:right w:w="80" w:type="dxa"/>
            </w:tcMar>
          </w:tcPr>
          <w:p w14:paraId="7C6488D6" w14:textId="77777777" w:rsidR="00F010E6" w:rsidRDefault="00313257">
            <w:pPr>
              <w:spacing w:before="240" w:after="0" w:line="276" w:lineRule="auto"/>
              <w:jc w:val="both"/>
              <w:rPr>
                <w:rFonts w:ascii="Arial" w:eastAsia="Arial" w:hAnsi="Arial" w:cs="Arial"/>
                <w:sz w:val="24"/>
                <w:szCs w:val="24"/>
              </w:rPr>
            </w:pPr>
            <w:r>
              <w:rPr>
                <w:rFonts w:ascii="Arial Unicode MS" w:eastAsia="Arial Unicode MS" w:hAnsi="Arial Unicode MS" w:cs="Arial Unicode MS"/>
                <w:sz w:val="24"/>
                <w:szCs w:val="24"/>
              </w:rPr>
              <w:t>Aplicación del flujo ITIL (registro → diagnóstico → resolución → cierre).</w:t>
            </w:r>
          </w:p>
        </w:tc>
        <w:tc>
          <w:tcPr>
            <w:tcW w:w="2119" w:type="dxa"/>
            <w:tcBorders>
              <w:top w:val="nil"/>
              <w:left w:val="nil"/>
              <w:bottom w:val="single" w:sz="5" w:space="0" w:color="000000"/>
              <w:right w:val="single" w:sz="5" w:space="0" w:color="000000"/>
            </w:tcBorders>
            <w:tcMar>
              <w:top w:w="0" w:type="dxa"/>
              <w:left w:w="80" w:type="dxa"/>
              <w:bottom w:w="0" w:type="dxa"/>
              <w:right w:w="80" w:type="dxa"/>
            </w:tcMar>
          </w:tcPr>
          <w:p w14:paraId="37E26FE8" w14:textId="77777777" w:rsidR="00F010E6" w:rsidRDefault="00313257">
            <w:pPr>
              <w:spacing w:before="240" w:after="0" w:line="276" w:lineRule="auto"/>
              <w:jc w:val="center"/>
              <w:rPr>
                <w:rFonts w:ascii="Arial" w:eastAsia="Arial" w:hAnsi="Arial" w:cs="Arial"/>
                <w:sz w:val="24"/>
                <w:szCs w:val="24"/>
              </w:rPr>
            </w:pPr>
            <w:r>
              <w:rPr>
                <w:rFonts w:ascii="Arial" w:eastAsia="Arial" w:hAnsi="Arial" w:cs="Arial"/>
                <w:sz w:val="24"/>
                <w:szCs w:val="24"/>
              </w:rPr>
              <w:t>Diario</w:t>
            </w:r>
          </w:p>
        </w:tc>
      </w:tr>
      <w:tr w:rsidR="00F010E6" w14:paraId="612A6419" w14:textId="77777777" w:rsidTr="001E6DD4">
        <w:trPr>
          <w:trHeight w:val="870"/>
        </w:trPr>
        <w:tc>
          <w:tcPr>
            <w:tcW w:w="3345" w:type="dxa"/>
            <w:tcBorders>
              <w:top w:val="nil"/>
              <w:left w:val="single" w:sz="5" w:space="0" w:color="000000"/>
              <w:bottom w:val="single" w:sz="5" w:space="0" w:color="000000"/>
              <w:right w:val="single" w:sz="5" w:space="0" w:color="000000"/>
            </w:tcBorders>
            <w:shd w:val="clear" w:color="auto" w:fill="323E4F"/>
            <w:tcMar>
              <w:top w:w="0" w:type="dxa"/>
              <w:left w:w="80" w:type="dxa"/>
              <w:bottom w:w="0" w:type="dxa"/>
              <w:right w:w="80" w:type="dxa"/>
            </w:tcMar>
          </w:tcPr>
          <w:p w14:paraId="67636867" w14:textId="77777777" w:rsidR="00F010E6" w:rsidRDefault="00313257">
            <w:pPr>
              <w:spacing w:before="240" w:after="0" w:line="276" w:lineRule="auto"/>
              <w:jc w:val="center"/>
              <w:rPr>
                <w:rFonts w:ascii="Arial" w:eastAsia="Arial" w:hAnsi="Arial" w:cs="Arial"/>
                <w:b/>
                <w:bCs/>
                <w:color w:val="FFFFFF"/>
                <w:sz w:val="24"/>
                <w:szCs w:val="24"/>
              </w:rPr>
            </w:pPr>
            <w:r>
              <w:rPr>
                <w:rFonts w:ascii="Arial" w:eastAsia="Arial" w:hAnsi="Arial" w:cs="Arial"/>
                <w:b/>
                <w:bCs/>
                <w:color w:val="FFFFFF"/>
                <w:sz w:val="24"/>
                <w:szCs w:val="24"/>
              </w:rPr>
              <w:t>Evaluación del desempeño de servicios</w:t>
            </w:r>
          </w:p>
        </w:tc>
        <w:tc>
          <w:tcPr>
            <w:tcW w:w="3374" w:type="dxa"/>
            <w:tcBorders>
              <w:top w:val="nil"/>
              <w:left w:val="nil"/>
              <w:bottom w:val="single" w:sz="5" w:space="0" w:color="000000"/>
              <w:right w:val="single" w:sz="5" w:space="0" w:color="000000"/>
            </w:tcBorders>
            <w:tcMar>
              <w:top w:w="0" w:type="dxa"/>
              <w:left w:w="80" w:type="dxa"/>
              <w:bottom w:w="0" w:type="dxa"/>
              <w:right w:w="80" w:type="dxa"/>
            </w:tcMar>
          </w:tcPr>
          <w:p w14:paraId="6BA91C0B" w14:textId="77777777" w:rsidR="00F010E6" w:rsidRDefault="00313257">
            <w:pPr>
              <w:spacing w:before="240" w:after="0" w:line="276" w:lineRule="auto"/>
              <w:jc w:val="both"/>
              <w:rPr>
                <w:rFonts w:ascii="Arial" w:eastAsia="Arial" w:hAnsi="Arial" w:cs="Arial"/>
                <w:sz w:val="24"/>
                <w:szCs w:val="24"/>
              </w:rPr>
            </w:pPr>
            <w:r>
              <w:rPr>
                <w:rFonts w:ascii="Arial" w:eastAsia="Arial" w:hAnsi="Arial" w:cs="Arial"/>
                <w:sz w:val="24"/>
                <w:szCs w:val="24"/>
              </w:rPr>
              <w:t>Análisis de métricas y elaboración de reportes al comité de TI.</w:t>
            </w:r>
          </w:p>
        </w:tc>
        <w:tc>
          <w:tcPr>
            <w:tcW w:w="2119" w:type="dxa"/>
            <w:tcBorders>
              <w:top w:val="nil"/>
              <w:left w:val="nil"/>
              <w:bottom w:val="single" w:sz="5" w:space="0" w:color="000000"/>
              <w:right w:val="single" w:sz="5" w:space="0" w:color="000000"/>
            </w:tcBorders>
            <w:tcMar>
              <w:top w:w="0" w:type="dxa"/>
              <w:left w:w="80" w:type="dxa"/>
              <w:bottom w:w="0" w:type="dxa"/>
              <w:right w:w="80" w:type="dxa"/>
            </w:tcMar>
          </w:tcPr>
          <w:p w14:paraId="51A5D006" w14:textId="77777777" w:rsidR="00F010E6" w:rsidRDefault="00313257">
            <w:pPr>
              <w:spacing w:before="240" w:after="0" w:line="276" w:lineRule="auto"/>
              <w:jc w:val="center"/>
              <w:rPr>
                <w:rFonts w:ascii="Arial" w:eastAsia="Arial" w:hAnsi="Arial" w:cs="Arial"/>
                <w:sz w:val="24"/>
                <w:szCs w:val="24"/>
              </w:rPr>
            </w:pPr>
            <w:r>
              <w:rPr>
                <w:rFonts w:ascii="Arial" w:eastAsia="Arial" w:hAnsi="Arial" w:cs="Arial"/>
                <w:sz w:val="24"/>
                <w:szCs w:val="24"/>
              </w:rPr>
              <w:t>Mensual</w:t>
            </w:r>
          </w:p>
        </w:tc>
      </w:tr>
    </w:tbl>
    <w:p w14:paraId="324EFED4"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tbl>
      <w:tblPr>
        <w:tblStyle w:val="a3"/>
        <w:tblpPr w:leftFromText="141" w:rightFromText="141" w:vertAnchor="text" w:horzAnchor="margin" w:tblpY="74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2"/>
        <w:gridCol w:w="2799"/>
        <w:gridCol w:w="1803"/>
        <w:gridCol w:w="1424"/>
      </w:tblGrid>
      <w:tr w:rsidR="001E6DD4" w14:paraId="4C076739" w14:textId="77777777" w:rsidTr="001E6DD4">
        <w:trPr>
          <w:trHeight w:val="570"/>
        </w:trPr>
        <w:tc>
          <w:tcPr>
            <w:tcW w:w="2812" w:type="dxa"/>
            <w:tcBorders>
              <w:top w:val="single" w:sz="5" w:space="0" w:color="000000"/>
              <w:left w:val="single" w:sz="5" w:space="0" w:color="000000"/>
              <w:bottom w:val="single" w:sz="5" w:space="0" w:color="000000"/>
              <w:right w:val="single" w:sz="5" w:space="0" w:color="000000"/>
            </w:tcBorders>
            <w:shd w:val="clear" w:color="auto" w:fill="99CCFF"/>
            <w:tcMar>
              <w:top w:w="0" w:type="dxa"/>
              <w:left w:w="80" w:type="dxa"/>
              <w:bottom w:w="0" w:type="dxa"/>
              <w:right w:w="80" w:type="dxa"/>
            </w:tcMar>
          </w:tcPr>
          <w:p w14:paraId="52DD0F91" w14:textId="77777777" w:rsidR="001E6DD4" w:rsidRDefault="001E6DD4" w:rsidP="001E6DD4">
            <w:pPr>
              <w:spacing w:after="0" w:line="276" w:lineRule="auto"/>
              <w:ind w:left="-80" w:right="100"/>
              <w:jc w:val="center"/>
              <w:rPr>
                <w:rFonts w:ascii="Arial" w:eastAsia="Arial" w:hAnsi="Arial" w:cs="Arial"/>
                <w:b/>
                <w:bCs/>
                <w:sz w:val="24"/>
                <w:szCs w:val="24"/>
              </w:rPr>
            </w:pPr>
            <w:r>
              <w:rPr>
                <w:rFonts w:ascii="Arial" w:eastAsia="Arial" w:hAnsi="Arial" w:cs="Arial"/>
                <w:b/>
                <w:bCs/>
                <w:sz w:val="24"/>
                <w:szCs w:val="24"/>
              </w:rPr>
              <w:lastRenderedPageBreak/>
              <w:t>Indicador</w:t>
            </w:r>
          </w:p>
        </w:tc>
        <w:tc>
          <w:tcPr>
            <w:tcW w:w="2799" w:type="dxa"/>
            <w:tcBorders>
              <w:top w:val="single" w:sz="5" w:space="0" w:color="000000"/>
              <w:left w:val="nil"/>
              <w:bottom w:val="single" w:sz="5" w:space="0" w:color="000000"/>
              <w:right w:val="single" w:sz="5" w:space="0" w:color="000000"/>
            </w:tcBorders>
            <w:shd w:val="clear" w:color="auto" w:fill="99CCFF"/>
            <w:tcMar>
              <w:top w:w="0" w:type="dxa"/>
              <w:left w:w="80" w:type="dxa"/>
              <w:bottom w:w="0" w:type="dxa"/>
              <w:right w:w="80" w:type="dxa"/>
            </w:tcMar>
          </w:tcPr>
          <w:p w14:paraId="05AAFDEE" w14:textId="77777777" w:rsidR="001E6DD4" w:rsidRDefault="001E6DD4" w:rsidP="001E6DD4">
            <w:pPr>
              <w:spacing w:before="240" w:after="0" w:line="276" w:lineRule="auto"/>
              <w:ind w:left="100" w:right="100"/>
              <w:jc w:val="center"/>
              <w:rPr>
                <w:rFonts w:ascii="Arial" w:eastAsia="Arial" w:hAnsi="Arial" w:cs="Arial"/>
                <w:b/>
                <w:bCs/>
                <w:sz w:val="24"/>
                <w:szCs w:val="24"/>
              </w:rPr>
            </w:pPr>
            <w:r>
              <w:rPr>
                <w:rFonts w:ascii="Arial" w:eastAsia="Arial" w:hAnsi="Arial" w:cs="Arial"/>
                <w:b/>
                <w:bCs/>
                <w:sz w:val="24"/>
                <w:szCs w:val="24"/>
              </w:rPr>
              <w:t>Descripción</w:t>
            </w:r>
          </w:p>
        </w:tc>
        <w:tc>
          <w:tcPr>
            <w:tcW w:w="1803" w:type="dxa"/>
            <w:tcBorders>
              <w:top w:val="single" w:sz="5" w:space="0" w:color="000000"/>
              <w:left w:val="nil"/>
              <w:bottom w:val="single" w:sz="5" w:space="0" w:color="000000"/>
              <w:right w:val="single" w:sz="5" w:space="0" w:color="000000"/>
            </w:tcBorders>
            <w:shd w:val="clear" w:color="auto" w:fill="99CCFF"/>
            <w:tcMar>
              <w:top w:w="0" w:type="dxa"/>
              <w:left w:w="80" w:type="dxa"/>
              <w:bottom w:w="0" w:type="dxa"/>
              <w:right w:w="80" w:type="dxa"/>
            </w:tcMar>
          </w:tcPr>
          <w:p w14:paraId="0BDC352F" w14:textId="77777777" w:rsidR="001E6DD4" w:rsidRDefault="001E6DD4" w:rsidP="001E6DD4">
            <w:pPr>
              <w:spacing w:before="240" w:after="0" w:line="276" w:lineRule="auto"/>
              <w:ind w:left="100" w:right="100"/>
              <w:jc w:val="center"/>
              <w:rPr>
                <w:rFonts w:ascii="Arial" w:eastAsia="Arial" w:hAnsi="Arial" w:cs="Arial"/>
                <w:b/>
                <w:bCs/>
                <w:sz w:val="24"/>
                <w:szCs w:val="24"/>
              </w:rPr>
            </w:pPr>
            <w:r>
              <w:rPr>
                <w:rFonts w:ascii="Arial" w:eastAsia="Arial" w:hAnsi="Arial" w:cs="Arial"/>
                <w:b/>
                <w:bCs/>
                <w:sz w:val="24"/>
                <w:szCs w:val="24"/>
              </w:rPr>
              <w:t>Método de medición</w:t>
            </w:r>
          </w:p>
        </w:tc>
        <w:tc>
          <w:tcPr>
            <w:tcW w:w="1424" w:type="dxa"/>
            <w:tcBorders>
              <w:top w:val="single" w:sz="5" w:space="0" w:color="000000"/>
              <w:left w:val="nil"/>
              <w:bottom w:val="single" w:sz="5" w:space="0" w:color="000000"/>
              <w:right w:val="single" w:sz="5" w:space="0" w:color="000000"/>
            </w:tcBorders>
            <w:shd w:val="clear" w:color="auto" w:fill="99CCFF"/>
            <w:tcMar>
              <w:top w:w="0" w:type="dxa"/>
              <w:left w:w="80" w:type="dxa"/>
              <w:bottom w:w="0" w:type="dxa"/>
              <w:right w:w="80" w:type="dxa"/>
            </w:tcMar>
          </w:tcPr>
          <w:p w14:paraId="19F0F583" w14:textId="77777777" w:rsidR="001E6DD4" w:rsidRDefault="001E6DD4" w:rsidP="001E6DD4">
            <w:pPr>
              <w:spacing w:before="240" w:after="0" w:line="276" w:lineRule="auto"/>
              <w:ind w:left="100" w:right="100"/>
              <w:jc w:val="center"/>
              <w:rPr>
                <w:rFonts w:ascii="Arial" w:eastAsia="Arial" w:hAnsi="Arial" w:cs="Arial"/>
                <w:b/>
                <w:bCs/>
                <w:sz w:val="24"/>
                <w:szCs w:val="24"/>
              </w:rPr>
            </w:pPr>
            <w:r>
              <w:rPr>
                <w:rFonts w:ascii="Arial" w:eastAsia="Arial" w:hAnsi="Arial" w:cs="Arial"/>
                <w:b/>
                <w:bCs/>
                <w:sz w:val="24"/>
                <w:szCs w:val="24"/>
              </w:rPr>
              <w:t>Meta</w:t>
            </w:r>
          </w:p>
        </w:tc>
      </w:tr>
      <w:tr w:rsidR="001E6DD4" w14:paraId="3762F852" w14:textId="77777777" w:rsidTr="001E6DD4">
        <w:trPr>
          <w:trHeight w:val="1110"/>
        </w:trPr>
        <w:tc>
          <w:tcPr>
            <w:tcW w:w="2812" w:type="dxa"/>
            <w:tcBorders>
              <w:top w:val="nil"/>
              <w:left w:val="single" w:sz="5" w:space="0" w:color="000000"/>
              <w:bottom w:val="single" w:sz="5" w:space="0" w:color="000000"/>
              <w:right w:val="single" w:sz="5" w:space="0" w:color="000000"/>
            </w:tcBorders>
            <w:shd w:val="clear" w:color="auto" w:fill="6666FF"/>
            <w:tcMar>
              <w:top w:w="0" w:type="dxa"/>
              <w:left w:w="80" w:type="dxa"/>
              <w:bottom w:w="0" w:type="dxa"/>
              <w:right w:w="80" w:type="dxa"/>
            </w:tcMar>
          </w:tcPr>
          <w:p w14:paraId="530FDE3B" w14:textId="77777777" w:rsidR="001E6DD4" w:rsidRDefault="001E6DD4" w:rsidP="001E6DD4">
            <w:pPr>
              <w:spacing w:before="240" w:after="0" w:line="276" w:lineRule="auto"/>
              <w:ind w:left="100" w:right="100"/>
              <w:jc w:val="center"/>
              <w:rPr>
                <w:rFonts w:ascii="Arial" w:eastAsia="Arial" w:hAnsi="Arial" w:cs="Arial"/>
                <w:b/>
                <w:bCs/>
                <w:color w:val="FFFFFF"/>
                <w:sz w:val="24"/>
                <w:szCs w:val="24"/>
              </w:rPr>
            </w:pPr>
            <w:r>
              <w:rPr>
                <w:rFonts w:ascii="Arial" w:eastAsia="Arial" w:hAnsi="Arial" w:cs="Arial"/>
                <w:b/>
                <w:bCs/>
                <w:color w:val="FFFFFF"/>
                <w:sz w:val="24"/>
                <w:szCs w:val="24"/>
              </w:rPr>
              <w:t>Disponibilidad del servicio</w:t>
            </w:r>
          </w:p>
        </w:tc>
        <w:tc>
          <w:tcPr>
            <w:tcW w:w="2799" w:type="dxa"/>
            <w:tcBorders>
              <w:top w:val="nil"/>
              <w:left w:val="nil"/>
              <w:bottom w:val="single" w:sz="5" w:space="0" w:color="000000"/>
              <w:right w:val="single" w:sz="5" w:space="0" w:color="000000"/>
            </w:tcBorders>
            <w:tcMar>
              <w:top w:w="0" w:type="dxa"/>
              <w:left w:w="80" w:type="dxa"/>
              <w:bottom w:w="0" w:type="dxa"/>
              <w:right w:w="80" w:type="dxa"/>
            </w:tcMar>
          </w:tcPr>
          <w:p w14:paraId="22CD662F"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Tiempo que los sistemas ERP y correo están operativos.</w:t>
            </w:r>
          </w:p>
        </w:tc>
        <w:tc>
          <w:tcPr>
            <w:tcW w:w="1803" w:type="dxa"/>
            <w:tcBorders>
              <w:top w:val="nil"/>
              <w:left w:val="nil"/>
              <w:bottom w:val="single" w:sz="5" w:space="0" w:color="000000"/>
              <w:right w:val="single" w:sz="5" w:space="0" w:color="000000"/>
            </w:tcBorders>
            <w:tcMar>
              <w:top w:w="0" w:type="dxa"/>
              <w:left w:w="80" w:type="dxa"/>
              <w:bottom w:w="0" w:type="dxa"/>
              <w:right w:w="80" w:type="dxa"/>
            </w:tcMar>
          </w:tcPr>
          <w:p w14:paraId="3CD5F05E"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Herramientas de monitoreo (</w:t>
            </w:r>
            <w:proofErr w:type="spellStart"/>
            <w:r>
              <w:rPr>
                <w:rFonts w:ascii="Arial" w:eastAsia="Arial" w:hAnsi="Arial" w:cs="Arial"/>
                <w:sz w:val="24"/>
                <w:szCs w:val="24"/>
              </w:rPr>
              <w:t>UptimeRobot</w:t>
            </w:r>
            <w:proofErr w:type="spellEnd"/>
            <w:r>
              <w:rPr>
                <w:rFonts w:ascii="Arial" w:eastAsia="Arial" w:hAnsi="Arial" w:cs="Arial"/>
                <w:sz w:val="24"/>
                <w:szCs w:val="24"/>
              </w:rPr>
              <w:t xml:space="preserve">, </w:t>
            </w:r>
            <w:proofErr w:type="spellStart"/>
            <w:r>
              <w:rPr>
                <w:rFonts w:ascii="Arial" w:eastAsia="Arial" w:hAnsi="Arial" w:cs="Arial"/>
                <w:sz w:val="24"/>
                <w:szCs w:val="24"/>
              </w:rPr>
              <w:t>Zabbix</w:t>
            </w:r>
            <w:proofErr w:type="spellEnd"/>
            <w:r>
              <w:rPr>
                <w:rFonts w:ascii="Arial" w:eastAsia="Arial" w:hAnsi="Arial" w:cs="Arial"/>
                <w:sz w:val="24"/>
                <w:szCs w:val="24"/>
              </w:rPr>
              <w:t>).</w:t>
            </w:r>
          </w:p>
        </w:tc>
        <w:tc>
          <w:tcPr>
            <w:tcW w:w="1424" w:type="dxa"/>
            <w:tcBorders>
              <w:top w:val="nil"/>
              <w:left w:val="nil"/>
              <w:bottom w:val="single" w:sz="5" w:space="0" w:color="000000"/>
              <w:right w:val="single" w:sz="5" w:space="0" w:color="000000"/>
            </w:tcBorders>
            <w:tcMar>
              <w:top w:w="0" w:type="dxa"/>
              <w:left w:w="80" w:type="dxa"/>
              <w:bottom w:w="0" w:type="dxa"/>
              <w:right w:w="80" w:type="dxa"/>
            </w:tcMar>
          </w:tcPr>
          <w:p w14:paraId="76731113" w14:textId="77777777" w:rsidR="001E6DD4" w:rsidRDefault="001E6DD4" w:rsidP="001E6DD4">
            <w:pPr>
              <w:spacing w:before="240" w:after="0" w:line="276" w:lineRule="auto"/>
              <w:ind w:left="100" w:right="100"/>
              <w:jc w:val="center"/>
              <w:rPr>
                <w:rFonts w:ascii="Arial" w:eastAsia="Arial" w:hAnsi="Arial" w:cs="Arial"/>
                <w:sz w:val="24"/>
                <w:szCs w:val="24"/>
              </w:rPr>
            </w:pPr>
            <w:r>
              <w:rPr>
                <w:rFonts w:ascii="Arial Unicode MS" w:eastAsia="Arial Unicode MS" w:hAnsi="Arial Unicode MS" w:cs="Arial Unicode MS"/>
                <w:sz w:val="24"/>
                <w:szCs w:val="24"/>
              </w:rPr>
              <w:t>≥ 99.5%</w:t>
            </w:r>
          </w:p>
        </w:tc>
      </w:tr>
      <w:tr w:rsidR="001E6DD4" w14:paraId="378C045E" w14:textId="77777777" w:rsidTr="001E6DD4">
        <w:trPr>
          <w:trHeight w:val="675"/>
        </w:trPr>
        <w:tc>
          <w:tcPr>
            <w:tcW w:w="2812" w:type="dxa"/>
            <w:tcBorders>
              <w:top w:val="nil"/>
              <w:left w:val="single" w:sz="5" w:space="0" w:color="000000"/>
              <w:bottom w:val="single" w:sz="5" w:space="0" w:color="000000"/>
              <w:right w:val="single" w:sz="5" w:space="0" w:color="000000"/>
            </w:tcBorders>
            <w:shd w:val="clear" w:color="auto" w:fill="6666FF"/>
            <w:tcMar>
              <w:top w:w="0" w:type="dxa"/>
              <w:left w:w="80" w:type="dxa"/>
              <w:bottom w:w="0" w:type="dxa"/>
              <w:right w:w="80" w:type="dxa"/>
            </w:tcMar>
          </w:tcPr>
          <w:p w14:paraId="6ADD2359" w14:textId="77777777" w:rsidR="001E6DD4" w:rsidRDefault="001E6DD4" w:rsidP="001E6DD4">
            <w:pPr>
              <w:spacing w:before="240" w:after="0" w:line="276" w:lineRule="auto"/>
              <w:ind w:left="100" w:right="100"/>
              <w:jc w:val="center"/>
              <w:rPr>
                <w:rFonts w:ascii="Arial" w:eastAsia="Arial" w:hAnsi="Arial" w:cs="Arial"/>
                <w:b/>
                <w:bCs/>
                <w:color w:val="FFFFFF"/>
                <w:sz w:val="24"/>
                <w:szCs w:val="24"/>
              </w:rPr>
            </w:pPr>
            <w:r>
              <w:rPr>
                <w:rFonts w:ascii="Arial" w:eastAsia="Arial" w:hAnsi="Arial" w:cs="Arial"/>
                <w:b/>
                <w:bCs/>
                <w:color w:val="FFFFFF"/>
                <w:sz w:val="24"/>
                <w:szCs w:val="24"/>
              </w:rPr>
              <w:t>Tiempo medio de resolución (MTTR)</w:t>
            </w:r>
          </w:p>
        </w:tc>
        <w:tc>
          <w:tcPr>
            <w:tcW w:w="2799" w:type="dxa"/>
            <w:tcBorders>
              <w:top w:val="nil"/>
              <w:left w:val="nil"/>
              <w:bottom w:val="single" w:sz="5" w:space="0" w:color="000000"/>
              <w:right w:val="single" w:sz="5" w:space="0" w:color="000000"/>
            </w:tcBorders>
            <w:tcMar>
              <w:top w:w="0" w:type="dxa"/>
              <w:left w:w="80" w:type="dxa"/>
              <w:bottom w:w="0" w:type="dxa"/>
              <w:right w:w="80" w:type="dxa"/>
            </w:tcMar>
          </w:tcPr>
          <w:p w14:paraId="40A20B10"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Tiempo promedio para resolver incidencias registradas.</w:t>
            </w:r>
          </w:p>
        </w:tc>
        <w:tc>
          <w:tcPr>
            <w:tcW w:w="1803" w:type="dxa"/>
            <w:tcBorders>
              <w:top w:val="nil"/>
              <w:left w:val="nil"/>
              <w:bottom w:val="single" w:sz="5" w:space="0" w:color="000000"/>
              <w:right w:val="single" w:sz="5" w:space="0" w:color="000000"/>
            </w:tcBorders>
            <w:tcMar>
              <w:top w:w="0" w:type="dxa"/>
              <w:left w:w="80" w:type="dxa"/>
              <w:bottom w:w="0" w:type="dxa"/>
              <w:right w:w="80" w:type="dxa"/>
            </w:tcMar>
          </w:tcPr>
          <w:p w14:paraId="238F36DC"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Registro del sistema de tickets.</w:t>
            </w:r>
          </w:p>
        </w:tc>
        <w:tc>
          <w:tcPr>
            <w:tcW w:w="1424" w:type="dxa"/>
            <w:tcBorders>
              <w:top w:val="nil"/>
              <w:left w:val="nil"/>
              <w:bottom w:val="single" w:sz="5" w:space="0" w:color="000000"/>
              <w:right w:val="single" w:sz="5" w:space="0" w:color="000000"/>
            </w:tcBorders>
            <w:tcMar>
              <w:top w:w="0" w:type="dxa"/>
              <w:left w:w="80" w:type="dxa"/>
              <w:bottom w:w="0" w:type="dxa"/>
              <w:right w:w="80" w:type="dxa"/>
            </w:tcMar>
          </w:tcPr>
          <w:p w14:paraId="48386BCA" w14:textId="77777777" w:rsidR="001E6DD4" w:rsidRDefault="001E6DD4" w:rsidP="001E6DD4">
            <w:pPr>
              <w:spacing w:before="240" w:after="0" w:line="276" w:lineRule="auto"/>
              <w:ind w:left="100" w:right="100"/>
              <w:jc w:val="center"/>
              <w:rPr>
                <w:rFonts w:ascii="Arial" w:eastAsia="Arial" w:hAnsi="Arial" w:cs="Arial"/>
                <w:sz w:val="24"/>
                <w:szCs w:val="24"/>
              </w:rPr>
            </w:pPr>
            <w:r>
              <w:rPr>
                <w:rFonts w:ascii="Arial Unicode MS" w:eastAsia="Arial Unicode MS" w:hAnsi="Arial Unicode MS" w:cs="Arial Unicode MS"/>
                <w:sz w:val="24"/>
                <w:szCs w:val="24"/>
              </w:rPr>
              <w:t>≤ 4 horas</w:t>
            </w:r>
          </w:p>
        </w:tc>
      </w:tr>
      <w:tr w:rsidR="001E6DD4" w14:paraId="0D279A1B" w14:textId="77777777" w:rsidTr="001E6DD4">
        <w:trPr>
          <w:trHeight w:val="675"/>
        </w:trPr>
        <w:tc>
          <w:tcPr>
            <w:tcW w:w="2812" w:type="dxa"/>
            <w:tcBorders>
              <w:top w:val="nil"/>
              <w:left w:val="single" w:sz="5" w:space="0" w:color="000000"/>
              <w:bottom w:val="single" w:sz="5" w:space="0" w:color="000000"/>
              <w:right w:val="single" w:sz="5" w:space="0" w:color="000000"/>
            </w:tcBorders>
            <w:shd w:val="clear" w:color="auto" w:fill="6666FF"/>
            <w:tcMar>
              <w:top w:w="0" w:type="dxa"/>
              <w:left w:w="80" w:type="dxa"/>
              <w:bottom w:w="0" w:type="dxa"/>
              <w:right w:w="80" w:type="dxa"/>
            </w:tcMar>
          </w:tcPr>
          <w:p w14:paraId="119057C7" w14:textId="77777777" w:rsidR="001E6DD4" w:rsidRDefault="001E6DD4" w:rsidP="001E6DD4">
            <w:pPr>
              <w:spacing w:before="240" w:after="0" w:line="276" w:lineRule="auto"/>
              <w:ind w:left="100" w:right="100"/>
              <w:jc w:val="center"/>
              <w:rPr>
                <w:rFonts w:ascii="Arial" w:eastAsia="Arial" w:hAnsi="Arial" w:cs="Arial"/>
                <w:b/>
                <w:bCs/>
                <w:color w:val="FFFFFF"/>
                <w:sz w:val="24"/>
                <w:szCs w:val="24"/>
              </w:rPr>
            </w:pPr>
            <w:r>
              <w:rPr>
                <w:rFonts w:ascii="Arial" w:eastAsia="Arial" w:hAnsi="Arial" w:cs="Arial"/>
                <w:b/>
                <w:bCs/>
                <w:color w:val="FFFFFF"/>
                <w:sz w:val="24"/>
                <w:szCs w:val="24"/>
              </w:rPr>
              <w:t>Índice de satisfacción del usuario</w:t>
            </w:r>
          </w:p>
        </w:tc>
        <w:tc>
          <w:tcPr>
            <w:tcW w:w="2799" w:type="dxa"/>
            <w:tcBorders>
              <w:top w:val="nil"/>
              <w:left w:val="nil"/>
              <w:bottom w:val="single" w:sz="5" w:space="0" w:color="000000"/>
              <w:right w:val="single" w:sz="5" w:space="0" w:color="000000"/>
            </w:tcBorders>
            <w:tcMar>
              <w:top w:w="0" w:type="dxa"/>
              <w:left w:w="80" w:type="dxa"/>
              <w:bottom w:w="0" w:type="dxa"/>
              <w:right w:w="80" w:type="dxa"/>
            </w:tcMar>
          </w:tcPr>
          <w:p w14:paraId="698427A9"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Nivel de satisfacción de los empleados con el soporte TI.</w:t>
            </w:r>
          </w:p>
        </w:tc>
        <w:tc>
          <w:tcPr>
            <w:tcW w:w="1803" w:type="dxa"/>
            <w:tcBorders>
              <w:top w:val="nil"/>
              <w:left w:val="nil"/>
              <w:bottom w:val="single" w:sz="5" w:space="0" w:color="000000"/>
              <w:right w:val="single" w:sz="5" w:space="0" w:color="000000"/>
            </w:tcBorders>
            <w:tcMar>
              <w:top w:w="0" w:type="dxa"/>
              <w:left w:w="80" w:type="dxa"/>
              <w:bottom w:w="0" w:type="dxa"/>
              <w:right w:w="80" w:type="dxa"/>
            </w:tcMar>
          </w:tcPr>
          <w:p w14:paraId="0DF26B58"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Encuestas trimestrales.</w:t>
            </w:r>
          </w:p>
        </w:tc>
        <w:tc>
          <w:tcPr>
            <w:tcW w:w="1424" w:type="dxa"/>
            <w:tcBorders>
              <w:top w:val="nil"/>
              <w:left w:val="nil"/>
              <w:bottom w:val="single" w:sz="5" w:space="0" w:color="000000"/>
              <w:right w:val="single" w:sz="5" w:space="0" w:color="000000"/>
            </w:tcBorders>
            <w:tcMar>
              <w:top w:w="0" w:type="dxa"/>
              <w:left w:w="80" w:type="dxa"/>
              <w:bottom w:w="0" w:type="dxa"/>
              <w:right w:w="80" w:type="dxa"/>
            </w:tcMar>
          </w:tcPr>
          <w:p w14:paraId="280CC67E" w14:textId="77777777" w:rsidR="001E6DD4" w:rsidRDefault="001E6DD4" w:rsidP="001E6DD4">
            <w:pPr>
              <w:spacing w:before="240" w:after="0" w:line="276" w:lineRule="auto"/>
              <w:ind w:left="100" w:right="100"/>
              <w:jc w:val="center"/>
              <w:rPr>
                <w:rFonts w:ascii="Arial" w:eastAsia="Arial" w:hAnsi="Arial" w:cs="Arial"/>
                <w:sz w:val="24"/>
                <w:szCs w:val="24"/>
              </w:rPr>
            </w:pPr>
            <w:r>
              <w:rPr>
                <w:rFonts w:ascii="Arial Unicode MS" w:eastAsia="Arial Unicode MS" w:hAnsi="Arial Unicode MS" w:cs="Arial Unicode MS"/>
                <w:sz w:val="24"/>
                <w:szCs w:val="24"/>
              </w:rPr>
              <w:t>≥ 90%</w:t>
            </w:r>
          </w:p>
        </w:tc>
      </w:tr>
      <w:tr w:rsidR="001E6DD4" w14:paraId="46A92DB8" w14:textId="77777777" w:rsidTr="001E6DD4">
        <w:trPr>
          <w:trHeight w:val="675"/>
        </w:trPr>
        <w:tc>
          <w:tcPr>
            <w:tcW w:w="2812" w:type="dxa"/>
            <w:tcBorders>
              <w:top w:val="nil"/>
              <w:left w:val="single" w:sz="5" w:space="0" w:color="000000"/>
              <w:bottom w:val="single" w:sz="5" w:space="0" w:color="000000"/>
              <w:right w:val="single" w:sz="5" w:space="0" w:color="000000"/>
            </w:tcBorders>
            <w:shd w:val="clear" w:color="auto" w:fill="6666FF"/>
            <w:tcMar>
              <w:top w:w="0" w:type="dxa"/>
              <w:left w:w="80" w:type="dxa"/>
              <w:bottom w:w="0" w:type="dxa"/>
              <w:right w:w="80" w:type="dxa"/>
            </w:tcMar>
          </w:tcPr>
          <w:p w14:paraId="434FB87A" w14:textId="77777777" w:rsidR="001E6DD4" w:rsidRDefault="001E6DD4" w:rsidP="001E6DD4">
            <w:pPr>
              <w:spacing w:before="240" w:after="0" w:line="276" w:lineRule="auto"/>
              <w:ind w:left="100" w:right="100"/>
              <w:jc w:val="center"/>
              <w:rPr>
                <w:rFonts w:ascii="Arial" w:eastAsia="Arial" w:hAnsi="Arial" w:cs="Arial"/>
                <w:b/>
                <w:bCs/>
                <w:color w:val="FFFFFF"/>
                <w:sz w:val="24"/>
                <w:szCs w:val="24"/>
              </w:rPr>
            </w:pPr>
            <w:r>
              <w:rPr>
                <w:rFonts w:ascii="Arial" w:eastAsia="Arial" w:hAnsi="Arial" w:cs="Arial"/>
                <w:b/>
                <w:bCs/>
                <w:color w:val="FFFFFF"/>
                <w:sz w:val="24"/>
                <w:szCs w:val="24"/>
              </w:rPr>
              <w:t>Cumplimiento de políticas de seguridad</w:t>
            </w:r>
          </w:p>
        </w:tc>
        <w:tc>
          <w:tcPr>
            <w:tcW w:w="2799" w:type="dxa"/>
            <w:tcBorders>
              <w:top w:val="nil"/>
              <w:left w:val="nil"/>
              <w:bottom w:val="single" w:sz="5" w:space="0" w:color="000000"/>
              <w:right w:val="single" w:sz="5" w:space="0" w:color="000000"/>
            </w:tcBorders>
            <w:tcMar>
              <w:top w:w="0" w:type="dxa"/>
              <w:left w:w="80" w:type="dxa"/>
              <w:bottom w:w="0" w:type="dxa"/>
              <w:right w:w="80" w:type="dxa"/>
            </w:tcMar>
          </w:tcPr>
          <w:p w14:paraId="646502C6"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Porcentaje de cumplimiento en auditorías de seguridad.</w:t>
            </w:r>
          </w:p>
        </w:tc>
        <w:tc>
          <w:tcPr>
            <w:tcW w:w="1803" w:type="dxa"/>
            <w:tcBorders>
              <w:top w:val="nil"/>
              <w:left w:val="nil"/>
              <w:bottom w:val="single" w:sz="5" w:space="0" w:color="000000"/>
              <w:right w:val="single" w:sz="5" w:space="0" w:color="000000"/>
            </w:tcBorders>
            <w:tcMar>
              <w:top w:w="0" w:type="dxa"/>
              <w:left w:w="80" w:type="dxa"/>
              <w:bottom w:w="0" w:type="dxa"/>
              <w:right w:w="80" w:type="dxa"/>
            </w:tcMar>
          </w:tcPr>
          <w:p w14:paraId="122859B2" w14:textId="77777777" w:rsidR="001E6DD4" w:rsidRDefault="001E6DD4" w:rsidP="001E6DD4">
            <w:pPr>
              <w:spacing w:before="240" w:after="0" w:line="276" w:lineRule="auto"/>
              <w:ind w:left="100" w:right="100"/>
              <w:rPr>
                <w:rFonts w:ascii="Arial" w:eastAsia="Arial" w:hAnsi="Arial" w:cs="Arial"/>
                <w:sz w:val="24"/>
                <w:szCs w:val="24"/>
              </w:rPr>
            </w:pPr>
            <w:r>
              <w:rPr>
                <w:rFonts w:ascii="Arial" w:eastAsia="Arial" w:hAnsi="Arial" w:cs="Arial"/>
                <w:sz w:val="24"/>
                <w:szCs w:val="24"/>
              </w:rPr>
              <w:t>Auditorías ISO/COBIT.</w:t>
            </w:r>
          </w:p>
        </w:tc>
        <w:tc>
          <w:tcPr>
            <w:tcW w:w="1424" w:type="dxa"/>
            <w:tcBorders>
              <w:top w:val="nil"/>
              <w:left w:val="nil"/>
              <w:bottom w:val="single" w:sz="5" w:space="0" w:color="000000"/>
              <w:right w:val="single" w:sz="5" w:space="0" w:color="000000"/>
            </w:tcBorders>
            <w:tcMar>
              <w:top w:w="0" w:type="dxa"/>
              <w:left w:w="80" w:type="dxa"/>
              <w:bottom w:w="0" w:type="dxa"/>
              <w:right w:w="80" w:type="dxa"/>
            </w:tcMar>
          </w:tcPr>
          <w:p w14:paraId="3105CD7E" w14:textId="77777777" w:rsidR="001E6DD4" w:rsidRDefault="001E6DD4" w:rsidP="001E6DD4">
            <w:pPr>
              <w:spacing w:before="240" w:after="0" w:line="276" w:lineRule="auto"/>
              <w:ind w:left="100" w:right="100"/>
              <w:jc w:val="center"/>
              <w:rPr>
                <w:rFonts w:ascii="Arial" w:eastAsia="Arial" w:hAnsi="Arial" w:cs="Arial"/>
                <w:sz w:val="24"/>
                <w:szCs w:val="24"/>
              </w:rPr>
            </w:pPr>
            <w:r>
              <w:rPr>
                <w:rFonts w:ascii="Arial Unicode MS" w:eastAsia="Arial Unicode MS" w:hAnsi="Arial Unicode MS" w:cs="Arial Unicode MS"/>
                <w:sz w:val="24"/>
                <w:szCs w:val="24"/>
              </w:rPr>
              <w:t>≥ 95%</w:t>
            </w:r>
          </w:p>
        </w:tc>
      </w:tr>
    </w:tbl>
    <w:p w14:paraId="541D13BF"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b/>
          <w:bCs/>
          <w:sz w:val="24"/>
          <w:szCs w:val="24"/>
        </w:rPr>
        <w:t>6.</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sz w:val="24"/>
          <w:szCs w:val="24"/>
        </w:rPr>
        <w:t>Indicadores de gestión</w:t>
      </w:r>
    </w:p>
    <w:p w14:paraId="7A8B6BE9"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51B7CE91"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 xml:space="preserve"> </w:t>
      </w:r>
    </w:p>
    <w:p w14:paraId="137C7382" w14:textId="77777777" w:rsidR="00F010E6" w:rsidRDefault="00313257">
      <w:pPr>
        <w:spacing w:before="240" w:after="240" w:line="360" w:lineRule="auto"/>
        <w:ind w:left="360"/>
        <w:jc w:val="both"/>
        <w:rPr>
          <w:rFonts w:ascii="Arial" w:eastAsia="Arial" w:hAnsi="Arial" w:cs="Arial"/>
          <w:sz w:val="24"/>
          <w:szCs w:val="24"/>
        </w:rPr>
      </w:pPr>
      <w:r>
        <w:rPr>
          <w:rFonts w:ascii="Arial" w:eastAsia="Arial" w:hAnsi="Arial" w:cs="Arial"/>
          <w:b/>
          <w:bCs/>
          <w:sz w:val="24"/>
          <w:szCs w:val="24"/>
        </w:rPr>
        <w:t>7.</w:t>
      </w:r>
      <w:r>
        <w:rPr>
          <w:rFonts w:ascii="Arial" w:eastAsia="Arial" w:hAnsi="Arial" w:cs="Arial"/>
          <w:sz w:val="14"/>
          <w:szCs w:val="14"/>
        </w:rPr>
        <w:t xml:space="preserve">  </w:t>
      </w:r>
      <w:r>
        <w:rPr>
          <w:rFonts w:ascii="Arial" w:eastAsia="Arial" w:hAnsi="Arial" w:cs="Arial"/>
          <w:sz w:val="14"/>
          <w:szCs w:val="14"/>
        </w:rPr>
        <w:tab/>
      </w:r>
      <w:r>
        <w:rPr>
          <w:rFonts w:ascii="Arial" w:eastAsia="Arial" w:hAnsi="Arial" w:cs="Arial"/>
          <w:sz w:val="24"/>
          <w:szCs w:val="24"/>
        </w:rPr>
        <w:t xml:space="preserve"> Integración de marcos de referencia</w:t>
      </w:r>
    </w:p>
    <w:p w14:paraId="28680C1C"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COBIT: define la gobernanza, objetivos de control y métricas alineadas al negocio.</w:t>
      </w:r>
    </w:p>
    <w:p w14:paraId="3AA54565"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ITIL: gestiona los servicios operativos (incidentes, cambios, niveles de servicio).</w:t>
      </w:r>
    </w:p>
    <w:p w14:paraId="71640882"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ISO/IEC 20000: formaliza los procesos del SGS y permite certificación.</w:t>
      </w:r>
    </w:p>
    <w:p w14:paraId="25A754BF"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CMMI: mide la madurez y fomenta la mejora continua.</w:t>
      </w:r>
    </w:p>
    <w:p w14:paraId="1F6ADE0F" w14:textId="77777777" w:rsidR="00F010E6" w:rsidRDefault="00313257">
      <w:pPr>
        <w:spacing w:before="240" w:after="240" w:line="360" w:lineRule="auto"/>
        <w:jc w:val="both"/>
        <w:rPr>
          <w:rFonts w:ascii="Arial" w:eastAsia="Arial" w:hAnsi="Arial" w:cs="Arial"/>
          <w:sz w:val="24"/>
          <w:szCs w:val="24"/>
        </w:rPr>
      </w:pPr>
      <w:r>
        <w:rPr>
          <w:rFonts w:ascii="Arial" w:eastAsia="Arial" w:hAnsi="Arial" w:cs="Arial"/>
          <w:sz w:val="24"/>
          <w:szCs w:val="24"/>
        </w:rPr>
        <w:t>Ecosistema unificado:</w:t>
      </w:r>
    </w:p>
    <w:p w14:paraId="61D5A18A" w14:textId="77777777" w:rsidR="00F010E6" w:rsidRDefault="00313257">
      <w:pPr>
        <w:spacing w:before="240" w:after="240" w:line="360" w:lineRule="auto"/>
        <w:jc w:val="both"/>
        <w:rPr>
          <w:rFonts w:ascii="Arial" w:eastAsia="Arial" w:hAnsi="Arial" w:cs="Arial"/>
          <w:b/>
          <w:bCs/>
          <w:i/>
          <w:iCs/>
          <w:sz w:val="24"/>
          <w:szCs w:val="24"/>
        </w:rPr>
      </w:pPr>
      <w:r>
        <w:rPr>
          <w:rFonts w:ascii="Arial" w:eastAsia="Arial" w:hAnsi="Arial" w:cs="Arial"/>
          <w:b/>
          <w:bCs/>
          <w:i/>
          <w:iCs/>
          <w:sz w:val="24"/>
          <w:szCs w:val="24"/>
        </w:rPr>
        <w:lastRenderedPageBreak/>
        <w:t>Gobernanza (COBIT) + Gestión operativa (ITIL) + Certificación (ISO/IEC 20000) + Madurez (CMMI) = Administración integral y sostenible de TI.</w:t>
      </w:r>
    </w:p>
    <w:p w14:paraId="5BA31EE5" w14:textId="77777777" w:rsidR="00F010E6" w:rsidRPr="001E6DD4" w:rsidRDefault="00313257">
      <w:pPr>
        <w:spacing w:before="240" w:after="240" w:line="360" w:lineRule="auto"/>
        <w:jc w:val="both"/>
        <w:rPr>
          <w:rFonts w:ascii="Arial" w:eastAsia="Arial" w:hAnsi="Arial" w:cs="Arial"/>
          <w:b/>
          <w:bCs/>
          <w:sz w:val="24"/>
          <w:szCs w:val="24"/>
        </w:rPr>
      </w:pPr>
      <w:r>
        <w:rPr>
          <w:rFonts w:ascii="Arial" w:eastAsia="Arial" w:hAnsi="Arial" w:cs="Arial"/>
          <w:b/>
          <w:bCs/>
          <w:i/>
          <w:iCs/>
          <w:sz w:val="24"/>
          <w:szCs w:val="24"/>
        </w:rPr>
        <w:t xml:space="preserve"> </w:t>
      </w:r>
    </w:p>
    <w:p w14:paraId="1BE52962" w14:textId="77777777" w:rsidR="00F010E6" w:rsidRPr="001E6DD4" w:rsidRDefault="00313257">
      <w:pPr>
        <w:spacing w:before="240" w:after="240" w:line="360" w:lineRule="auto"/>
        <w:ind w:left="360"/>
        <w:jc w:val="both"/>
        <w:rPr>
          <w:rFonts w:ascii="Arial" w:eastAsia="Arial" w:hAnsi="Arial" w:cs="Arial"/>
          <w:sz w:val="24"/>
          <w:szCs w:val="24"/>
        </w:rPr>
      </w:pPr>
      <w:r w:rsidRPr="001E6DD4">
        <w:rPr>
          <w:rFonts w:ascii="Arial" w:eastAsia="Arial" w:hAnsi="Arial" w:cs="Arial"/>
          <w:sz w:val="24"/>
          <w:szCs w:val="24"/>
        </w:rPr>
        <w:t>8.</w:t>
      </w:r>
      <w:r w:rsidRPr="001E6DD4">
        <w:rPr>
          <w:rFonts w:ascii="Arial" w:eastAsia="Arial" w:hAnsi="Arial" w:cs="Arial"/>
          <w:sz w:val="14"/>
          <w:szCs w:val="14"/>
        </w:rPr>
        <w:t xml:space="preserve">  </w:t>
      </w:r>
      <w:r w:rsidRPr="001E6DD4">
        <w:rPr>
          <w:rFonts w:ascii="Arial" w:eastAsia="Arial" w:hAnsi="Arial" w:cs="Arial"/>
          <w:sz w:val="14"/>
          <w:szCs w:val="14"/>
        </w:rPr>
        <w:tab/>
      </w:r>
      <w:r w:rsidRPr="001E6DD4">
        <w:rPr>
          <w:rFonts w:ascii="Arial" w:eastAsia="Arial" w:hAnsi="Arial" w:cs="Arial"/>
          <w:sz w:val="24"/>
          <w:szCs w:val="24"/>
        </w:rPr>
        <w:t>Conclusión</w:t>
      </w:r>
    </w:p>
    <w:p w14:paraId="4171678C" w14:textId="77777777" w:rsidR="00F010E6" w:rsidRPr="001E6DD4" w:rsidRDefault="00313257">
      <w:pPr>
        <w:spacing w:before="240" w:after="240" w:line="360" w:lineRule="auto"/>
        <w:jc w:val="both"/>
        <w:rPr>
          <w:rFonts w:ascii="Arial" w:eastAsia="Arial" w:hAnsi="Arial" w:cs="Arial"/>
          <w:b/>
          <w:bCs/>
          <w:i/>
          <w:iCs/>
          <w:sz w:val="24"/>
          <w:szCs w:val="24"/>
        </w:rPr>
      </w:pPr>
      <w:r w:rsidRPr="001E6DD4">
        <w:rPr>
          <w:rFonts w:ascii="Arial" w:eastAsia="Arial" w:hAnsi="Arial" w:cs="Arial"/>
          <w:b/>
          <w:bCs/>
          <w:i/>
          <w:iCs/>
          <w:sz w:val="24"/>
          <w:szCs w:val="24"/>
        </w:rPr>
        <w:t xml:space="preserve">El modelo propuesto para </w:t>
      </w:r>
      <w:proofErr w:type="spellStart"/>
      <w:r w:rsidRPr="001E6DD4">
        <w:rPr>
          <w:rFonts w:ascii="Arial" w:eastAsia="Arial" w:hAnsi="Arial" w:cs="Arial"/>
          <w:b/>
          <w:bCs/>
          <w:i/>
          <w:iCs/>
          <w:sz w:val="24"/>
          <w:szCs w:val="24"/>
        </w:rPr>
        <w:t>TechSolutions</w:t>
      </w:r>
      <w:proofErr w:type="spellEnd"/>
      <w:r w:rsidRPr="001E6DD4">
        <w:rPr>
          <w:rFonts w:ascii="Arial" w:eastAsia="Arial" w:hAnsi="Arial" w:cs="Arial"/>
          <w:b/>
          <w:bCs/>
          <w:i/>
          <w:iCs/>
          <w:sz w:val="24"/>
          <w:szCs w:val="24"/>
        </w:rPr>
        <w:t xml:space="preserve"> S.A. permite garantizar la continuidad operativa, la protección de la información y la eficiencia de los servicios TI privados, asegurando una gestión alineada con las mejores prácticas internacionales.</w:t>
      </w:r>
      <w:r w:rsidRPr="001E6DD4">
        <w:rPr>
          <w:rFonts w:ascii="Arial" w:eastAsia="Arial" w:hAnsi="Arial" w:cs="Arial"/>
          <w:b/>
          <w:bCs/>
          <w:i/>
          <w:iCs/>
          <w:sz w:val="24"/>
          <w:szCs w:val="24"/>
        </w:rPr>
        <w:br/>
        <w:t xml:space="preserve"> A través de la integración de COBIT, ITIL, CMMI e ISO/IEC 20000, la empresa logra una gobernanza sólida, procesos estandarizados y una cultura de mejora continua, convirtiendo a TI en un pilar estratégico para la competitividad empresarial.</w:t>
      </w:r>
    </w:p>
    <w:p w14:paraId="369E429F" w14:textId="77777777" w:rsidR="00F010E6" w:rsidRDefault="00313257">
      <w:pPr>
        <w:spacing w:before="240" w:after="240" w:line="360" w:lineRule="auto"/>
        <w:jc w:val="both"/>
        <w:rPr>
          <w:rFonts w:ascii="Arial" w:eastAsia="Arial" w:hAnsi="Arial" w:cs="Arial"/>
          <w:b/>
          <w:bCs/>
          <w:sz w:val="28"/>
          <w:szCs w:val="28"/>
        </w:rPr>
      </w:pPr>
      <w:r>
        <w:rPr>
          <w:rFonts w:ascii="Arial" w:eastAsia="Arial" w:hAnsi="Arial" w:cs="Arial"/>
          <w:b/>
          <w:bCs/>
          <w:i/>
          <w:iCs/>
          <w:sz w:val="24"/>
          <w:szCs w:val="24"/>
        </w:rPr>
        <w:t xml:space="preserve"> </w:t>
      </w:r>
    </w:p>
    <w:p w14:paraId="706EA2A7"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 xml:space="preserve">4. Diseñar un modelo de administración de servicios de TI públicos para un organismo gubernamental ficticio que atienda a la ciudadanía mediante servicios digitales. Para ello, deberás identificar los aspectos clave de la gestión (gobierno y liderazgo, gestión de la información, servicios electrónicos y portales web, evaluación y mejora continua) y explicar cómo se aplicarían en su propuesta. Define los principios que guiarán el modelo (transparencia, participación ciudadana, rendición de cuentas e innovación), plantea los requerimientos esenciales (marco legal, infraestructura tecnológica robusta, seguridad cibernética, interoperabilidad y accesibilidad), y describe las actividades de control necesarias (auditorías de cumplimiento, monitoreo de riesgos, gestión de incidentes y evaluación del desempeño). Finalmente, selecciona al menos tres indicadores de gestión (como tiempo de respuesta, disponibilidad del servicio, índice de satisfacción del usuario o cumplimiento normativo), explica cómo se medirán. </w:t>
      </w:r>
    </w:p>
    <w:p w14:paraId="5F62D927" w14:textId="77777777" w:rsidR="00F010E6" w:rsidRDefault="00F010E6">
      <w:pPr>
        <w:spacing w:after="0" w:line="360" w:lineRule="auto"/>
        <w:jc w:val="both"/>
        <w:rPr>
          <w:rFonts w:ascii="Arial" w:eastAsia="Arial" w:hAnsi="Arial" w:cs="Arial"/>
          <w:b/>
          <w:bCs/>
          <w:sz w:val="24"/>
          <w:szCs w:val="24"/>
        </w:rPr>
      </w:pPr>
    </w:p>
    <w:p w14:paraId="6E318A00"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t>Análisis de Caso</w:t>
      </w:r>
    </w:p>
    <w:p w14:paraId="7D882439"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lastRenderedPageBreak/>
        <w:t xml:space="preserve">Implementación del Modelo de Administración de Servicios de TI </w:t>
      </w:r>
    </w:p>
    <w:p w14:paraId="6AE29338"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t xml:space="preserve">Ministerio de Innovación y Servicios Digitales (plataforma </w:t>
      </w:r>
      <w:proofErr w:type="spellStart"/>
      <w:r>
        <w:rPr>
          <w:rFonts w:ascii="Arial" w:eastAsia="Arial" w:hAnsi="Arial" w:cs="Arial"/>
          <w:b/>
          <w:bCs/>
          <w:sz w:val="24"/>
          <w:szCs w:val="24"/>
        </w:rPr>
        <w:t>EcuDatos</w:t>
      </w:r>
      <w:proofErr w:type="spellEnd"/>
      <w:r>
        <w:rPr>
          <w:rFonts w:ascii="Arial" w:eastAsia="Arial" w:hAnsi="Arial" w:cs="Arial"/>
          <w:b/>
          <w:bCs/>
          <w:sz w:val="24"/>
          <w:szCs w:val="24"/>
        </w:rPr>
        <w:t>)</w:t>
      </w:r>
    </w:p>
    <w:p w14:paraId="1136B692" w14:textId="77777777" w:rsidR="00F010E6" w:rsidRDefault="00313257">
      <w:pPr>
        <w:spacing w:after="0" w:line="360" w:lineRule="auto"/>
        <w:jc w:val="both"/>
        <w:rPr>
          <w:rFonts w:ascii="Arial" w:eastAsia="Arial" w:hAnsi="Arial" w:cs="Arial"/>
          <w:b/>
          <w:bCs/>
          <w:sz w:val="24"/>
          <w:szCs w:val="24"/>
        </w:rPr>
      </w:pPr>
      <w:proofErr w:type="spellStart"/>
      <w:r>
        <w:rPr>
          <w:rFonts w:ascii="Arial" w:eastAsia="Arial" w:hAnsi="Arial" w:cs="Arial"/>
          <w:b/>
          <w:bCs/>
          <w:sz w:val="24"/>
          <w:szCs w:val="24"/>
        </w:rPr>
        <w:t>Introduccion</w:t>
      </w:r>
      <w:proofErr w:type="spellEnd"/>
    </w:p>
    <w:p w14:paraId="7B06AFD0"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 xml:space="preserve">Se diseño un modelo de administración de servicios de TI públicos para un organismo gubernamental denominado Ministerio de Innovación y Servicios Digitales, que administra la plataforma digital </w:t>
      </w:r>
      <w:proofErr w:type="spellStart"/>
      <w:r>
        <w:rPr>
          <w:rFonts w:ascii="Arial" w:eastAsia="Arial" w:hAnsi="Arial" w:cs="Arial"/>
          <w:sz w:val="24"/>
          <w:szCs w:val="24"/>
        </w:rPr>
        <w:t>EcuDatos</w:t>
      </w:r>
      <w:proofErr w:type="spellEnd"/>
    </w:p>
    <w:p w14:paraId="4A93C848"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t>Aspectos Clave de la Gestión y su Aplicación</w:t>
      </w:r>
    </w:p>
    <w:p w14:paraId="2277469A"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 xml:space="preserve">Para la estructuración del modelo, se deben identificar los siguientes aspectos clave de la gestión y explicar cómo se aplicarían específicamente en el contexto del Ministerio y la plataforma </w:t>
      </w:r>
      <w:proofErr w:type="spellStart"/>
      <w:r>
        <w:rPr>
          <w:rFonts w:ascii="Arial" w:eastAsia="Arial" w:hAnsi="Arial" w:cs="Arial"/>
          <w:sz w:val="24"/>
          <w:szCs w:val="24"/>
        </w:rPr>
        <w:t>EcuDatos</w:t>
      </w:r>
      <w:proofErr w:type="spellEnd"/>
    </w:p>
    <w:p w14:paraId="54DC509E" w14:textId="77777777" w:rsidR="00F010E6" w:rsidRDefault="00F010E6">
      <w:pPr>
        <w:spacing w:after="0" w:line="360" w:lineRule="auto"/>
        <w:jc w:val="both"/>
        <w:rPr>
          <w:rFonts w:ascii="Arial" w:eastAsia="Arial" w:hAnsi="Arial" w:cs="Arial"/>
          <w:sz w:val="24"/>
          <w:szCs w:val="24"/>
        </w:rPr>
      </w:pPr>
    </w:p>
    <w:tbl>
      <w:tblPr>
        <w:tblStyle w:val="a4"/>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F010E6" w14:paraId="4D706050" w14:textId="77777777">
        <w:tc>
          <w:tcPr>
            <w:tcW w:w="4419" w:type="dxa"/>
            <w:shd w:val="clear" w:color="auto" w:fill="6D9EEB"/>
            <w:tcMar>
              <w:top w:w="100" w:type="dxa"/>
              <w:left w:w="100" w:type="dxa"/>
              <w:bottom w:w="100" w:type="dxa"/>
              <w:right w:w="100" w:type="dxa"/>
            </w:tcMar>
          </w:tcPr>
          <w:p w14:paraId="230DB2F7" w14:textId="77777777" w:rsidR="00F010E6" w:rsidRDefault="00313257">
            <w:pPr>
              <w:widowControl w:val="0"/>
              <w:pBdr>
                <w:top w:val="nil"/>
                <w:left w:val="nil"/>
                <w:bottom w:val="nil"/>
                <w:right w:val="nil"/>
                <w:between w:val="nil"/>
              </w:pBdr>
              <w:spacing w:after="0" w:line="240" w:lineRule="auto"/>
              <w:rPr>
                <w:rFonts w:ascii="Arial" w:eastAsia="Arial" w:hAnsi="Arial" w:cs="Arial"/>
                <w:b/>
                <w:bCs/>
                <w:color w:val="FFFFFF"/>
                <w:sz w:val="24"/>
                <w:szCs w:val="24"/>
              </w:rPr>
            </w:pPr>
            <w:r>
              <w:rPr>
                <w:rFonts w:ascii="Arial" w:eastAsia="Arial" w:hAnsi="Arial" w:cs="Arial"/>
                <w:b/>
                <w:bCs/>
                <w:color w:val="FFFFFF"/>
                <w:sz w:val="24"/>
                <w:szCs w:val="24"/>
              </w:rPr>
              <w:t>Aspecto Clave de la Gestión</w:t>
            </w:r>
          </w:p>
        </w:tc>
        <w:tc>
          <w:tcPr>
            <w:tcW w:w="4419" w:type="dxa"/>
            <w:shd w:val="clear" w:color="auto" w:fill="6D9EEB"/>
            <w:tcMar>
              <w:top w:w="100" w:type="dxa"/>
              <w:left w:w="100" w:type="dxa"/>
              <w:bottom w:w="100" w:type="dxa"/>
              <w:right w:w="100" w:type="dxa"/>
            </w:tcMar>
          </w:tcPr>
          <w:p w14:paraId="5F9760FB" w14:textId="77777777" w:rsidR="00F010E6" w:rsidRDefault="00313257">
            <w:pPr>
              <w:widowControl w:val="0"/>
              <w:pBdr>
                <w:top w:val="nil"/>
                <w:left w:val="nil"/>
                <w:bottom w:val="nil"/>
                <w:right w:val="nil"/>
                <w:between w:val="nil"/>
              </w:pBdr>
              <w:spacing w:after="0" w:line="240" w:lineRule="auto"/>
              <w:rPr>
                <w:rFonts w:ascii="Arial" w:eastAsia="Arial" w:hAnsi="Arial" w:cs="Arial"/>
                <w:b/>
                <w:bCs/>
                <w:color w:val="FFFFFF"/>
                <w:sz w:val="24"/>
                <w:szCs w:val="24"/>
              </w:rPr>
            </w:pPr>
            <w:r>
              <w:rPr>
                <w:rFonts w:ascii="Arial" w:eastAsia="Arial" w:hAnsi="Arial" w:cs="Arial"/>
                <w:b/>
                <w:bCs/>
                <w:color w:val="FFFFFF"/>
                <w:sz w:val="24"/>
                <w:szCs w:val="24"/>
              </w:rPr>
              <w:t>Aplicación del Modelo</w:t>
            </w:r>
          </w:p>
        </w:tc>
      </w:tr>
      <w:tr w:rsidR="00F010E6" w14:paraId="35B9F639" w14:textId="77777777">
        <w:tc>
          <w:tcPr>
            <w:tcW w:w="4419" w:type="dxa"/>
            <w:shd w:val="clear" w:color="auto" w:fill="F6B26B"/>
            <w:tcMar>
              <w:top w:w="100" w:type="dxa"/>
              <w:left w:w="100" w:type="dxa"/>
              <w:bottom w:w="100" w:type="dxa"/>
              <w:right w:w="100" w:type="dxa"/>
            </w:tcMar>
          </w:tcPr>
          <w:p w14:paraId="6B2BC2D0" w14:textId="77777777" w:rsidR="00F010E6" w:rsidRDefault="00313257">
            <w:pPr>
              <w:spacing w:after="0" w:line="360" w:lineRule="auto"/>
              <w:jc w:val="both"/>
              <w:rPr>
                <w:rFonts w:ascii="Arial" w:eastAsia="Arial" w:hAnsi="Arial" w:cs="Arial"/>
                <w:sz w:val="24"/>
                <w:szCs w:val="24"/>
              </w:rPr>
            </w:pPr>
            <w:r>
              <w:rPr>
                <w:rFonts w:ascii="Arial" w:eastAsia="Arial" w:hAnsi="Arial" w:cs="Arial"/>
                <w:b/>
                <w:bCs/>
                <w:sz w:val="24"/>
                <w:szCs w:val="24"/>
              </w:rPr>
              <w:t>Gobierno y liderazgo</w:t>
            </w:r>
          </w:p>
        </w:tc>
        <w:tc>
          <w:tcPr>
            <w:tcW w:w="4419" w:type="dxa"/>
            <w:shd w:val="clear" w:color="auto" w:fill="9FC5E8"/>
            <w:tcMar>
              <w:top w:w="100" w:type="dxa"/>
              <w:left w:w="100" w:type="dxa"/>
              <w:bottom w:w="100" w:type="dxa"/>
              <w:right w:w="100" w:type="dxa"/>
            </w:tcMar>
          </w:tcPr>
          <w:p w14:paraId="08DD9908"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Establecer un comité de gobierno de TI que supervise la estrategia, alineación con objetivos institucionales y toma de decisiones. Este comité debe incluir representantes de diferentes áreas que garantice la participación ciudadana en la definición de prioridades.</w:t>
            </w:r>
          </w:p>
          <w:p w14:paraId="384477F0"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Esto permite coordina personas, procesos y tecnología, definiendo roles y responsabilidades en la prestación de los servicios de TI</w:t>
            </w:r>
          </w:p>
        </w:tc>
      </w:tr>
      <w:tr w:rsidR="00F010E6" w14:paraId="3A3AC4BC" w14:textId="77777777">
        <w:tc>
          <w:tcPr>
            <w:tcW w:w="4419" w:type="dxa"/>
            <w:shd w:val="clear" w:color="auto" w:fill="F6B26B"/>
            <w:tcMar>
              <w:top w:w="100" w:type="dxa"/>
              <w:left w:w="100" w:type="dxa"/>
              <w:bottom w:w="100" w:type="dxa"/>
              <w:right w:w="100" w:type="dxa"/>
            </w:tcMar>
          </w:tcPr>
          <w:p w14:paraId="3A27BFD9" w14:textId="77777777" w:rsidR="00F010E6" w:rsidRDefault="00313257">
            <w:pPr>
              <w:spacing w:after="0" w:line="360" w:lineRule="auto"/>
              <w:jc w:val="both"/>
              <w:rPr>
                <w:rFonts w:ascii="Arial" w:eastAsia="Arial" w:hAnsi="Arial" w:cs="Arial"/>
                <w:sz w:val="24"/>
                <w:szCs w:val="24"/>
              </w:rPr>
            </w:pPr>
            <w:r>
              <w:rPr>
                <w:rFonts w:ascii="Arial" w:eastAsia="Arial" w:hAnsi="Arial" w:cs="Arial"/>
                <w:b/>
                <w:bCs/>
                <w:sz w:val="24"/>
                <w:szCs w:val="24"/>
              </w:rPr>
              <w:t>Gestión de la información</w:t>
            </w:r>
          </w:p>
        </w:tc>
        <w:tc>
          <w:tcPr>
            <w:tcW w:w="4419" w:type="dxa"/>
            <w:shd w:val="clear" w:color="auto" w:fill="9FC5E8"/>
            <w:tcMar>
              <w:top w:w="100" w:type="dxa"/>
              <w:left w:w="100" w:type="dxa"/>
              <w:bottom w:w="100" w:type="dxa"/>
              <w:right w:w="100" w:type="dxa"/>
            </w:tcMar>
          </w:tcPr>
          <w:p w14:paraId="21F7CB30"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Implementar políticas de gestión de datos que aseguren la integridad, confidencialidad y disponibilidad de la información. Se debe contar con sistemas de respaldo, recuperación y protección de datos personales.</w:t>
            </w:r>
          </w:p>
        </w:tc>
      </w:tr>
      <w:tr w:rsidR="00F010E6" w14:paraId="7FD0780E" w14:textId="77777777">
        <w:tc>
          <w:tcPr>
            <w:tcW w:w="4419" w:type="dxa"/>
            <w:shd w:val="clear" w:color="auto" w:fill="F6B26B"/>
            <w:tcMar>
              <w:top w:w="100" w:type="dxa"/>
              <w:left w:w="100" w:type="dxa"/>
              <w:bottom w:w="100" w:type="dxa"/>
              <w:right w:w="100" w:type="dxa"/>
            </w:tcMar>
          </w:tcPr>
          <w:p w14:paraId="7B9A2108" w14:textId="77777777" w:rsidR="00F010E6" w:rsidRDefault="00313257">
            <w:pPr>
              <w:spacing w:after="0" w:line="360" w:lineRule="auto"/>
              <w:jc w:val="both"/>
              <w:rPr>
                <w:rFonts w:ascii="Arial" w:eastAsia="Arial" w:hAnsi="Arial" w:cs="Arial"/>
                <w:sz w:val="24"/>
                <w:szCs w:val="24"/>
              </w:rPr>
            </w:pPr>
            <w:r>
              <w:rPr>
                <w:rFonts w:ascii="Arial" w:eastAsia="Arial" w:hAnsi="Arial" w:cs="Arial"/>
                <w:b/>
                <w:bCs/>
                <w:sz w:val="24"/>
                <w:szCs w:val="24"/>
              </w:rPr>
              <w:lastRenderedPageBreak/>
              <w:t>Servicios electrónicos y portales web</w:t>
            </w:r>
          </w:p>
        </w:tc>
        <w:tc>
          <w:tcPr>
            <w:tcW w:w="4419" w:type="dxa"/>
            <w:shd w:val="clear" w:color="auto" w:fill="9FC5E8"/>
            <w:tcMar>
              <w:top w:w="100" w:type="dxa"/>
              <w:left w:w="100" w:type="dxa"/>
              <w:bottom w:w="100" w:type="dxa"/>
              <w:right w:w="100" w:type="dxa"/>
            </w:tcMar>
          </w:tcPr>
          <w:p w14:paraId="62F22DB6"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Desarrollar y mantener portales web intuitivos y accesibles, integrando servicios como trámites, consultas, pagos y certificados. La plataforma debe permitir la interoperabilidad con otros sistemas del Estado</w:t>
            </w:r>
          </w:p>
        </w:tc>
      </w:tr>
      <w:tr w:rsidR="00F010E6" w14:paraId="3A1FFDC5" w14:textId="77777777">
        <w:tc>
          <w:tcPr>
            <w:tcW w:w="4419" w:type="dxa"/>
            <w:shd w:val="clear" w:color="auto" w:fill="F6B26B"/>
            <w:tcMar>
              <w:top w:w="100" w:type="dxa"/>
              <w:left w:w="100" w:type="dxa"/>
              <w:bottom w:w="100" w:type="dxa"/>
              <w:right w:w="100" w:type="dxa"/>
            </w:tcMar>
          </w:tcPr>
          <w:p w14:paraId="7B9AA239" w14:textId="77777777" w:rsidR="00F010E6" w:rsidRDefault="00313257">
            <w:pPr>
              <w:spacing w:after="0" w:line="360" w:lineRule="auto"/>
              <w:jc w:val="both"/>
              <w:rPr>
                <w:rFonts w:ascii="Arial" w:eastAsia="Arial" w:hAnsi="Arial" w:cs="Arial"/>
                <w:sz w:val="24"/>
                <w:szCs w:val="24"/>
              </w:rPr>
            </w:pPr>
            <w:r>
              <w:rPr>
                <w:rFonts w:ascii="Arial" w:eastAsia="Arial" w:hAnsi="Arial" w:cs="Arial"/>
                <w:b/>
                <w:bCs/>
                <w:sz w:val="24"/>
                <w:szCs w:val="24"/>
              </w:rPr>
              <w:t>Evaluación y mejora continua</w:t>
            </w:r>
          </w:p>
        </w:tc>
        <w:tc>
          <w:tcPr>
            <w:tcW w:w="4419" w:type="dxa"/>
            <w:shd w:val="clear" w:color="auto" w:fill="9FC5E8"/>
            <w:tcMar>
              <w:top w:w="100" w:type="dxa"/>
              <w:left w:w="100" w:type="dxa"/>
              <w:bottom w:w="100" w:type="dxa"/>
              <w:right w:w="100" w:type="dxa"/>
            </w:tcMar>
          </w:tcPr>
          <w:p w14:paraId="764E6FB2" w14:textId="77777777" w:rsidR="00F010E6" w:rsidRDefault="00313257">
            <w:pPr>
              <w:spacing w:after="0" w:line="360" w:lineRule="auto"/>
              <w:jc w:val="both"/>
              <w:rPr>
                <w:rFonts w:ascii="Arial" w:eastAsia="Arial" w:hAnsi="Arial" w:cs="Arial"/>
                <w:sz w:val="24"/>
                <w:szCs w:val="24"/>
              </w:rPr>
            </w:pPr>
            <w:r>
              <w:rPr>
                <w:rFonts w:ascii="Arial" w:eastAsia="Arial" w:hAnsi="Arial" w:cs="Arial"/>
                <w:sz w:val="24"/>
                <w:szCs w:val="24"/>
              </w:rPr>
              <w:t>Aplicar ciclos de mejora continua PDCA que significa: Planificar, Hacer, Verificar, Actuar y recopilar retroalimentación de usuarios para optimizar los servicios y procesos.</w:t>
            </w:r>
          </w:p>
        </w:tc>
      </w:tr>
    </w:tbl>
    <w:p w14:paraId="78573D03" w14:textId="77777777" w:rsidR="00F010E6" w:rsidRDefault="00F010E6">
      <w:pPr>
        <w:spacing w:after="0" w:line="360" w:lineRule="auto"/>
        <w:jc w:val="both"/>
        <w:rPr>
          <w:rFonts w:ascii="Arial" w:eastAsia="Arial" w:hAnsi="Arial" w:cs="Arial"/>
          <w:sz w:val="24"/>
          <w:szCs w:val="24"/>
        </w:rPr>
      </w:pPr>
    </w:p>
    <w:p w14:paraId="45CCA31C"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t>Principios del Modelo</w:t>
      </w:r>
    </w:p>
    <w:p w14:paraId="569A4F4C" w14:textId="77777777" w:rsidR="00F010E6" w:rsidRDefault="00313257">
      <w:pPr>
        <w:numPr>
          <w:ilvl w:val="0"/>
          <w:numId w:val="1"/>
        </w:numPr>
        <w:spacing w:after="0" w:line="360" w:lineRule="auto"/>
        <w:jc w:val="both"/>
        <w:rPr>
          <w:rFonts w:ascii="Arial" w:eastAsia="Arial" w:hAnsi="Arial" w:cs="Arial"/>
          <w:b/>
          <w:bCs/>
          <w:sz w:val="24"/>
          <w:szCs w:val="24"/>
        </w:rPr>
      </w:pPr>
      <w:r>
        <w:rPr>
          <w:rFonts w:ascii="Arial" w:eastAsia="Arial" w:hAnsi="Arial" w:cs="Arial"/>
          <w:b/>
          <w:bCs/>
          <w:sz w:val="24"/>
          <w:szCs w:val="24"/>
        </w:rPr>
        <w:t>Transparencia:</w:t>
      </w:r>
    </w:p>
    <w:p w14:paraId="78E1068D"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 xml:space="preserve">Publicar información clara y actualizada sobre los procesos, tiempos de respuesta, niveles de servicio y resultados de auditorías de </w:t>
      </w:r>
      <w:proofErr w:type="spellStart"/>
      <w:r>
        <w:rPr>
          <w:rFonts w:ascii="Arial" w:eastAsia="Arial" w:hAnsi="Arial" w:cs="Arial"/>
          <w:sz w:val="24"/>
          <w:szCs w:val="24"/>
        </w:rPr>
        <w:t>EcuDatos</w:t>
      </w:r>
      <w:proofErr w:type="spellEnd"/>
      <w:r>
        <w:rPr>
          <w:rFonts w:ascii="Arial" w:eastAsia="Arial" w:hAnsi="Arial" w:cs="Arial"/>
          <w:sz w:val="24"/>
          <w:szCs w:val="24"/>
        </w:rPr>
        <w:t>. La ciudadanía debe poder ver cómo se gestionan los servicios de TI públicos y qué resultados se obtienen</w:t>
      </w:r>
    </w:p>
    <w:p w14:paraId="6BC5374C" w14:textId="77777777" w:rsidR="00F010E6" w:rsidRDefault="00313257">
      <w:pPr>
        <w:numPr>
          <w:ilvl w:val="0"/>
          <w:numId w:val="1"/>
        </w:numPr>
        <w:spacing w:after="0" w:line="360" w:lineRule="auto"/>
        <w:jc w:val="both"/>
        <w:rPr>
          <w:rFonts w:ascii="Arial" w:eastAsia="Arial" w:hAnsi="Arial" w:cs="Arial"/>
          <w:b/>
          <w:bCs/>
          <w:sz w:val="24"/>
          <w:szCs w:val="24"/>
        </w:rPr>
      </w:pPr>
      <w:r>
        <w:rPr>
          <w:rFonts w:ascii="Arial" w:eastAsia="Arial" w:hAnsi="Arial" w:cs="Arial"/>
          <w:b/>
          <w:bCs/>
          <w:sz w:val="24"/>
          <w:szCs w:val="24"/>
        </w:rPr>
        <w:t>Participación ciudadana:</w:t>
      </w:r>
    </w:p>
    <w:p w14:paraId="07E743FE"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Mantener canales formales (formularios, encuestas) para que los usuarios opinen sobre los servicios, propongan mejoras y reporten problemas. Esta retroalimentación se integra en los ciclos de mejora continua del modelo</w:t>
      </w:r>
    </w:p>
    <w:p w14:paraId="4E28119B" w14:textId="77777777" w:rsidR="00F010E6" w:rsidRDefault="00313257">
      <w:pPr>
        <w:numPr>
          <w:ilvl w:val="0"/>
          <w:numId w:val="1"/>
        </w:numPr>
        <w:spacing w:after="0" w:line="360" w:lineRule="auto"/>
        <w:jc w:val="both"/>
        <w:rPr>
          <w:rFonts w:ascii="Arial" w:eastAsia="Arial" w:hAnsi="Arial" w:cs="Arial"/>
          <w:b/>
          <w:bCs/>
          <w:sz w:val="24"/>
          <w:szCs w:val="24"/>
        </w:rPr>
      </w:pPr>
      <w:r>
        <w:rPr>
          <w:rFonts w:ascii="Arial" w:eastAsia="Arial" w:hAnsi="Arial" w:cs="Arial"/>
          <w:b/>
          <w:bCs/>
          <w:sz w:val="24"/>
          <w:szCs w:val="24"/>
        </w:rPr>
        <w:t>Rendición de cuentas:</w:t>
      </w:r>
    </w:p>
    <w:p w14:paraId="72385932"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Definir responsables claros para cada servicio y proceso de TI que se pueda identificar quién responde por fallas, incumplimientos de niveles de servicio o incidentes de seguridad.</w:t>
      </w:r>
    </w:p>
    <w:p w14:paraId="76C2D6F6" w14:textId="77777777" w:rsidR="00F010E6" w:rsidRDefault="00313257">
      <w:pPr>
        <w:numPr>
          <w:ilvl w:val="0"/>
          <w:numId w:val="1"/>
        </w:numPr>
        <w:spacing w:after="0" w:line="360" w:lineRule="auto"/>
        <w:jc w:val="both"/>
        <w:rPr>
          <w:rFonts w:ascii="Arial" w:eastAsia="Arial" w:hAnsi="Arial" w:cs="Arial"/>
          <w:b/>
          <w:bCs/>
          <w:sz w:val="24"/>
          <w:szCs w:val="24"/>
        </w:rPr>
      </w:pPr>
      <w:r>
        <w:rPr>
          <w:rFonts w:ascii="Arial" w:eastAsia="Arial" w:hAnsi="Arial" w:cs="Arial"/>
          <w:b/>
          <w:bCs/>
          <w:sz w:val="24"/>
          <w:szCs w:val="24"/>
        </w:rPr>
        <w:t>Innovación:</w:t>
      </w:r>
    </w:p>
    <w:p w14:paraId="2BBD88B0"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Promover la adopción gradual de nuevas tecnologías y buenas prácticas de gestión de servicios de TI como las propuestas por ITIL, COBIT o ISO/IEC 20000.</w:t>
      </w:r>
    </w:p>
    <w:p w14:paraId="2131A261"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lastRenderedPageBreak/>
        <w:t>Requerimientos Esenciales</w:t>
      </w:r>
    </w:p>
    <w:p w14:paraId="082F1FEF" w14:textId="77777777" w:rsidR="00F010E6" w:rsidRDefault="00313257">
      <w:pPr>
        <w:numPr>
          <w:ilvl w:val="0"/>
          <w:numId w:val="2"/>
        </w:numPr>
        <w:spacing w:after="0" w:line="360" w:lineRule="auto"/>
        <w:jc w:val="both"/>
        <w:rPr>
          <w:rFonts w:ascii="Arial" w:eastAsia="Arial" w:hAnsi="Arial" w:cs="Arial"/>
          <w:b/>
          <w:bCs/>
          <w:sz w:val="24"/>
          <w:szCs w:val="24"/>
        </w:rPr>
      </w:pPr>
      <w:r>
        <w:rPr>
          <w:rFonts w:ascii="Arial" w:eastAsia="Arial" w:hAnsi="Arial" w:cs="Arial"/>
          <w:b/>
          <w:bCs/>
          <w:sz w:val="24"/>
          <w:szCs w:val="24"/>
        </w:rPr>
        <w:t>Marco legal:</w:t>
      </w:r>
    </w:p>
    <w:p w14:paraId="12E8CC40"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Contar con normativa específica que regule la operación de los servicios digitales, la protección de datos personales, la seguridad de la información y los derechos de los ciudadanos esto se apoya en estándares y marcos de referencia de gestión de servicios de TI estudiados en los temas 5 al 8 (ITIL 4, COBIT 2019, ISO/IEC 20000-1:2018, CMMI v2.0).</w:t>
      </w:r>
    </w:p>
    <w:p w14:paraId="07F05E1D" w14:textId="77777777" w:rsidR="00F010E6" w:rsidRDefault="00313257">
      <w:pPr>
        <w:numPr>
          <w:ilvl w:val="0"/>
          <w:numId w:val="2"/>
        </w:numPr>
        <w:spacing w:after="0" w:line="360" w:lineRule="auto"/>
        <w:jc w:val="both"/>
        <w:rPr>
          <w:rFonts w:ascii="Arial" w:eastAsia="Arial" w:hAnsi="Arial" w:cs="Arial"/>
          <w:b/>
          <w:bCs/>
          <w:sz w:val="24"/>
          <w:szCs w:val="24"/>
        </w:rPr>
      </w:pPr>
      <w:r>
        <w:rPr>
          <w:rFonts w:ascii="Arial" w:eastAsia="Arial" w:hAnsi="Arial" w:cs="Arial"/>
          <w:b/>
          <w:bCs/>
          <w:sz w:val="24"/>
          <w:szCs w:val="24"/>
        </w:rPr>
        <w:t>Infraestructura tecnológica robusta:</w:t>
      </w:r>
    </w:p>
    <w:p w14:paraId="2B572E1E"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Disponer de servidores, redes, almacenamiento y sistemas de respaldo dimensionados para la demanda ciudadana, que soporten la interoperabilidad con otros sistemas del estado</w:t>
      </w:r>
    </w:p>
    <w:p w14:paraId="4A90F57C" w14:textId="77777777" w:rsidR="00F010E6" w:rsidRDefault="00313257">
      <w:pPr>
        <w:numPr>
          <w:ilvl w:val="0"/>
          <w:numId w:val="2"/>
        </w:numPr>
        <w:spacing w:after="0" w:line="360" w:lineRule="auto"/>
        <w:jc w:val="both"/>
        <w:rPr>
          <w:rFonts w:ascii="Arial" w:eastAsia="Arial" w:hAnsi="Arial" w:cs="Arial"/>
          <w:b/>
          <w:bCs/>
          <w:sz w:val="24"/>
          <w:szCs w:val="24"/>
        </w:rPr>
      </w:pPr>
      <w:r>
        <w:rPr>
          <w:rFonts w:ascii="Arial" w:eastAsia="Arial" w:hAnsi="Arial" w:cs="Arial"/>
          <w:b/>
          <w:bCs/>
          <w:sz w:val="24"/>
          <w:szCs w:val="24"/>
        </w:rPr>
        <w:t>Seguridad:</w:t>
      </w:r>
    </w:p>
    <w:p w14:paraId="362685EA"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Implementación de controles de acceso, cifrado, detección de amenazas y planes de respuesta a incidentes garantizando la confidencialidad, integridad y disponibilidad de la información</w:t>
      </w:r>
    </w:p>
    <w:p w14:paraId="7EEC431D" w14:textId="77777777" w:rsidR="00F010E6" w:rsidRDefault="00313257">
      <w:pPr>
        <w:numPr>
          <w:ilvl w:val="0"/>
          <w:numId w:val="2"/>
        </w:numPr>
        <w:spacing w:after="0" w:line="360" w:lineRule="auto"/>
        <w:jc w:val="both"/>
        <w:rPr>
          <w:rFonts w:ascii="Arial" w:eastAsia="Arial" w:hAnsi="Arial" w:cs="Arial"/>
          <w:b/>
          <w:bCs/>
          <w:sz w:val="24"/>
          <w:szCs w:val="24"/>
        </w:rPr>
      </w:pPr>
      <w:r>
        <w:rPr>
          <w:rFonts w:ascii="Arial" w:eastAsia="Arial" w:hAnsi="Arial" w:cs="Arial"/>
          <w:b/>
          <w:bCs/>
          <w:sz w:val="24"/>
          <w:szCs w:val="24"/>
        </w:rPr>
        <w:t>Interoperabilidad:</w:t>
      </w:r>
    </w:p>
    <w:p w14:paraId="48D798F6"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Protocolos y estándares que permitan la integración con otros sistemas del Estado y el intercambio seguro de datos.</w:t>
      </w:r>
    </w:p>
    <w:p w14:paraId="1213DEBA" w14:textId="77777777" w:rsidR="00F010E6" w:rsidRDefault="00313257">
      <w:pPr>
        <w:numPr>
          <w:ilvl w:val="0"/>
          <w:numId w:val="2"/>
        </w:numPr>
        <w:spacing w:after="0" w:line="360" w:lineRule="auto"/>
        <w:jc w:val="both"/>
        <w:rPr>
          <w:rFonts w:ascii="Arial" w:eastAsia="Arial" w:hAnsi="Arial" w:cs="Arial"/>
          <w:b/>
          <w:bCs/>
          <w:sz w:val="24"/>
          <w:szCs w:val="24"/>
        </w:rPr>
      </w:pPr>
      <w:r>
        <w:rPr>
          <w:rFonts w:ascii="Arial" w:eastAsia="Arial" w:hAnsi="Arial" w:cs="Arial"/>
          <w:b/>
          <w:bCs/>
          <w:sz w:val="24"/>
          <w:szCs w:val="24"/>
        </w:rPr>
        <w:t>Accesibilidad:</w:t>
      </w:r>
    </w:p>
    <w:p w14:paraId="1F543261"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Diseño de interfaces y servicios que sean utilizables por personas con discapacidad y en diferentes dispositivos considerando lineamientos de accesibilidad y usabilidad.</w:t>
      </w:r>
    </w:p>
    <w:p w14:paraId="7C1D7E8A"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t>Actividades de Control</w:t>
      </w:r>
    </w:p>
    <w:p w14:paraId="128C6308" w14:textId="77777777" w:rsidR="00F010E6" w:rsidRDefault="00313257">
      <w:pPr>
        <w:numPr>
          <w:ilvl w:val="0"/>
          <w:numId w:val="4"/>
        </w:numPr>
        <w:spacing w:after="0" w:line="360" w:lineRule="auto"/>
        <w:jc w:val="both"/>
        <w:rPr>
          <w:rFonts w:ascii="Arial" w:eastAsia="Arial" w:hAnsi="Arial" w:cs="Arial"/>
          <w:b/>
          <w:bCs/>
          <w:sz w:val="24"/>
          <w:szCs w:val="24"/>
        </w:rPr>
      </w:pPr>
      <w:r>
        <w:rPr>
          <w:rFonts w:ascii="Arial" w:eastAsia="Arial" w:hAnsi="Arial" w:cs="Arial"/>
          <w:b/>
          <w:bCs/>
          <w:sz w:val="24"/>
          <w:szCs w:val="24"/>
        </w:rPr>
        <w:t>Auditorías de cumplimiento:</w:t>
      </w:r>
    </w:p>
    <w:p w14:paraId="2EBFD6CA"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Realizar auditorías periódicas para verificar el cumplimiento de las políticas internas, de la normativa aplicable y de estándares como ISO/IEC 20000-1:2018 permitiendo evaluar si los procesos de gestión de servicios de TI se ejecutan conforme a las mejores prácticas de ITIL, COBIT y la regulación vigente.</w:t>
      </w:r>
    </w:p>
    <w:p w14:paraId="109FD5A8" w14:textId="77777777" w:rsidR="00F010E6" w:rsidRDefault="00313257">
      <w:pPr>
        <w:numPr>
          <w:ilvl w:val="0"/>
          <w:numId w:val="4"/>
        </w:numPr>
        <w:spacing w:after="0" w:line="360" w:lineRule="auto"/>
        <w:jc w:val="both"/>
        <w:rPr>
          <w:rFonts w:ascii="Arial" w:eastAsia="Arial" w:hAnsi="Arial" w:cs="Arial"/>
          <w:b/>
          <w:bCs/>
          <w:sz w:val="24"/>
          <w:szCs w:val="24"/>
        </w:rPr>
      </w:pPr>
      <w:r>
        <w:rPr>
          <w:rFonts w:ascii="Arial" w:eastAsia="Arial" w:hAnsi="Arial" w:cs="Arial"/>
          <w:b/>
          <w:bCs/>
          <w:sz w:val="24"/>
          <w:szCs w:val="24"/>
        </w:rPr>
        <w:t>Monitoreo de riesgos:</w:t>
      </w:r>
    </w:p>
    <w:p w14:paraId="5ED45270"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lastRenderedPageBreak/>
        <w:t>Monitorear de forma continua los riesgos tecnológicos y operativos asociados a los servicios de TI públicos, identificando amenazas, vulnerabilidades e impacto potencial y gracias a esto se definen y aplican controles preventivos y correctivos.</w:t>
      </w:r>
    </w:p>
    <w:p w14:paraId="126B8CAD" w14:textId="77777777" w:rsidR="00F010E6" w:rsidRDefault="00313257">
      <w:pPr>
        <w:numPr>
          <w:ilvl w:val="0"/>
          <w:numId w:val="4"/>
        </w:numPr>
        <w:spacing w:after="0" w:line="360" w:lineRule="auto"/>
        <w:jc w:val="both"/>
        <w:rPr>
          <w:rFonts w:ascii="Arial" w:eastAsia="Arial" w:hAnsi="Arial" w:cs="Arial"/>
          <w:b/>
          <w:bCs/>
          <w:sz w:val="24"/>
          <w:szCs w:val="24"/>
        </w:rPr>
      </w:pPr>
      <w:r>
        <w:rPr>
          <w:rFonts w:ascii="Arial" w:eastAsia="Arial" w:hAnsi="Arial" w:cs="Arial"/>
          <w:b/>
          <w:bCs/>
          <w:sz w:val="24"/>
          <w:szCs w:val="24"/>
        </w:rPr>
        <w:t>Gestión de incidentes:</w:t>
      </w:r>
    </w:p>
    <w:p w14:paraId="4300713C"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 xml:space="preserve">Establecer procesos formales para la gestión de incidentes y problemas, alineados con las prácticas de gestión de incidentes y problemas de ITIL 4. dentro de esto </w:t>
      </w:r>
      <w:proofErr w:type="spellStart"/>
      <w:r>
        <w:rPr>
          <w:rFonts w:ascii="Arial" w:eastAsia="Arial" w:hAnsi="Arial" w:cs="Arial"/>
          <w:sz w:val="24"/>
          <w:szCs w:val="24"/>
        </w:rPr>
        <w:t>esta</w:t>
      </w:r>
      <w:proofErr w:type="spellEnd"/>
      <w:r>
        <w:rPr>
          <w:rFonts w:ascii="Arial" w:eastAsia="Arial" w:hAnsi="Arial" w:cs="Arial"/>
          <w:sz w:val="24"/>
          <w:szCs w:val="24"/>
        </w:rPr>
        <w:t xml:space="preserve"> el registro, clasificación, atención y seguimiento de incidentes, así como el análisis de causa raíz para prevenir recurrencias.</w:t>
      </w:r>
    </w:p>
    <w:p w14:paraId="0304E0F8" w14:textId="77777777" w:rsidR="00F010E6" w:rsidRDefault="00313257">
      <w:pPr>
        <w:numPr>
          <w:ilvl w:val="0"/>
          <w:numId w:val="4"/>
        </w:numPr>
        <w:spacing w:after="0" w:line="360" w:lineRule="auto"/>
        <w:jc w:val="both"/>
        <w:rPr>
          <w:rFonts w:ascii="Arial" w:eastAsia="Arial" w:hAnsi="Arial" w:cs="Arial"/>
          <w:b/>
          <w:bCs/>
          <w:sz w:val="24"/>
          <w:szCs w:val="24"/>
        </w:rPr>
      </w:pPr>
      <w:r>
        <w:rPr>
          <w:rFonts w:ascii="Arial" w:eastAsia="Arial" w:hAnsi="Arial" w:cs="Arial"/>
          <w:b/>
          <w:bCs/>
          <w:sz w:val="24"/>
          <w:szCs w:val="24"/>
        </w:rPr>
        <w:t>Evaluación del desempeño:</w:t>
      </w:r>
    </w:p>
    <w:p w14:paraId="6D373939" w14:textId="77777777" w:rsidR="00F010E6" w:rsidRDefault="00313257">
      <w:pPr>
        <w:spacing w:after="0" w:line="360" w:lineRule="auto"/>
        <w:ind w:left="720"/>
        <w:jc w:val="both"/>
        <w:rPr>
          <w:rFonts w:ascii="Arial" w:eastAsia="Arial" w:hAnsi="Arial" w:cs="Arial"/>
          <w:sz w:val="24"/>
          <w:szCs w:val="24"/>
        </w:rPr>
      </w:pPr>
      <w:r>
        <w:rPr>
          <w:rFonts w:ascii="Arial" w:eastAsia="Arial" w:hAnsi="Arial" w:cs="Arial"/>
          <w:sz w:val="24"/>
          <w:szCs w:val="24"/>
        </w:rPr>
        <w:t>Evaluar periódicamente el desempeño de los servicios de TI públicos mediante indicadores clave de gestión y utilizar esos resultados para alimentar ciclos de mejora continua PDCA y el modelo se mantiene alineado con las necesidades de los ciudadanos y con los objetivos estratégicos del gobierno</w:t>
      </w:r>
    </w:p>
    <w:p w14:paraId="7A9B2336" w14:textId="77777777" w:rsidR="00F010E6" w:rsidRDefault="00F010E6">
      <w:pPr>
        <w:spacing w:after="0" w:line="360" w:lineRule="auto"/>
        <w:ind w:left="720"/>
        <w:jc w:val="both"/>
        <w:rPr>
          <w:rFonts w:ascii="Arial" w:eastAsia="Arial" w:hAnsi="Arial" w:cs="Arial"/>
          <w:sz w:val="24"/>
          <w:szCs w:val="24"/>
        </w:rPr>
      </w:pPr>
    </w:p>
    <w:p w14:paraId="2CA2C7ED" w14:textId="77777777" w:rsidR="00F010E6" w:rsidRDefault="00313257">
      <w:pPr>
        <w:spacing w:after="0" w:line="360" w:lineRule="auto"/>
        <w:jc w:val="both"/>
        <w:rPr>
          <w:rFonts w:ascii="Arial" w:eastAsia="Arial" w:hAnsi="Arial" w:cs="Arial"/>
          <w:b/>
          <w:bCs/>
          <w:sz w:val="24"/>
          <w:szCs w:val="24"/>
        </w:rPr>
      </w:pPr>
      <w:r>
        <w:rPr>
          <w:rFonts w:ascii="Arial" w:eastAsia="Arial" w:hAnsi="Arial" w:cs="Arial"/>
          <w:b/>
          <w:bCs/>
          <w:sz w:val="24"/>
          <w:szCs w:val="24"/>
        </w:rPr>
        <w:t>Indicadores de Gestión</w:t>
      </w:r>
    </w:p>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F010E6" w14:paraId="273A5024" w14:textId="77777777">
        <w:tc>
          <w:tcPr>
            <w:tcW w:w="2946" w:type="dxa"/>
            <w:shd w:val="clear" w:color="auto" w:fill="6D9EEB"/>
            <w:tcMar>
              <w:top w:w="100" w:type="dxa"/>
              <w:left w:w="100" w:type="dxa"/>
              <w:bottom w:w="100" w:type="dxa"/>
              <w:right w:w="100" w:type="dxa"/>
            </w:tcMar>
          </w:tcPr>
          <w:p w14:paraId="7BDCABEE"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Indicador</w:t>
            </w:r>
          </w:p>
        </w:tc>
        <w:tc>
          <w:tcPr>
            <w:tcW w:w="2946" w:type="dxa"/>
            <w:shd w:val="clear" w:color="auto" w:fill="6D9EEB"/>
            <w:tcMar>
              <w:top w:w="100" w:type="dxa"/>
              <w:left w:w="100" w:type="dxa"/>
              <w:bottom w:w="100" w:type="dxa"/>
              <w:right w:w="100" w:type="dxa"/>
            </w:tcMar>
          </w:tcPr>
          <w:p w14:paraId="5BBCCBAF"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Descripción</w:t>
            </w:r>
          </w:p>
        </w:tc>
        <w:tc>
          <w:tcPr>
            <w:tcW w:w="2946" w:type="dxa"/>
            <w:shd w:val="clear" w:color="auto" w:fill="6D9EEB"/>
            <w:tcMar>
              <w:top w:w="100" w:type="dxa"/>
              <w:left w:w="100" w:type="dxa"/>
              <w:bottom w:w="100" w:type="dxa"/>
              <w:right w:w="100" w:type="dxa"/>
            </w:tcMar>
          </w:tcPr>
          <w:p w14:paraId="74DEED16"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Cómo se mide</w:t>
            </w:r>
          </w:p>
        </w:tc>
      </w:tr>
      <w:tr w:rsidR="00F010E6" w14:paraId="55045B3D" w14:textId="77777777">
        <w:tc>
          <w:tcPr>
            <w:tcW w:w="2946" w:type="dxa"/>
            <w:shd w:val="clear" w:color="auto" w:fill="F6B26B"/>
            <w:tcMar>
              <w:top w:w="100" w:type="dxa"/>
              <w:left w:w="100" w:type="dxa"/>
              <w:bottom w:w="100" w:type="dxa"/>
              <w:right w:w="100" w:type="dxa"/>
            </w:tcMar>
          </w:tcPr>
          <w:p w14:paraId="03214555"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Tiempo de respuesta</w:t>
            </w:r>
          </w:p>
        </w:tc>
        <w:tc>
          <w:tcPr>
            <w:tcW w:w="2946" w:type="dxa"/>
            <w:shd w:val="clear" w:color="auto" w:fill="F9CB9C"/>
            <w:tcMar>
              <w:top w:w="100" w:type="dxa"/>
              <w:left w:w="100" w:type="dxa"/>
              <w:bottom w:w="100" w:type="dxa"/>
              <w:right w:w="100" w:type="dxa"/>
            </w:tcMar>
          </w:tcPr>
          <w:p w14:paraId="2E6D6F99"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Roboto" w:eastAsia="Roboto" w:hAnsi="Roboto" w:cs="Roboto"/>
                <w:sz w:val="24"/>
                <w:szCs w:val="24"/>
              </w:rPr>
              <w:t xml:space="preserve">Mide el tiempo promedio que tarda </w:t>
            </w:r>
            <w:proofErr w:type="spellStart"/>
            <w:r>
              <w:rPr>
                <w:rFonts w:ascii="Roboto" w:eastAsia="Roboto" w:hAnsi="Roboto" w:cs="Roboto"/>
                <w:sz w:val="24"/>
                <w:szCs w:val="24"/>
              </w:rPr>
              <w:t>EcuDatos</w:t>
            </w:r>
            <w:proofErr w:type="spellEnd"/>
            <w:r>
              <w:rPr>
                <w:rFonts w:ascii="Roboto" w:eastAsia="Roboto" w:hAnsi="Roboto" w:cs="Roboto"/>
                <w:sz w:val="24"/>
                <w:szCs w:val="24"/>
              </w:rPr>
              <w:t xml:space="preserve"> en resolver un trámite o una consulta del ciudadano</w:t>
            </w:r>
          </w:p>
        </w:tc>
        <w:tc>
          <w:tcPr>
            <w:tcW w:w="2946" w:type="dxa"/>
            <w:shd w:val="clear" w:color="auto" w:fill="F9CB9C"/>
            <w:tcMar>
              <w:top w:w="100" w:type="dxa"/>
              <w:left w:w="100" w:type="dxa"/>
              <w:bottom w:w="100" w:type="dxa"/>
              <w:right w:w="100" w:type="dxa"/>
            </w:tcMar>
          </w:tcPr>
          <w:p w14:paraId="375F1062"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El sistema registra la fecha y hora de cada solicitud y la fecha y hora de resolución. Con estos datos se calcula el promedio del tiempo transcurrido entre solicitud y resolución en un periodo determinado</w:t>
            </w:r>
          </w:p>
        </w:tc>
      </w:tr>
      <w:tr w:rsidR="00F010E6" w14:paraId="6691FBCE" w14:textId="77777777">
        <w:tc>
          <w:tcPr>
            <w:tcW w:w="2946" w:type="dxa"/>
            <w:shd w:val="clear" w:color="auto" w:fill="F6B26B"/>
            <w:tcMar>
              <w:top w:w="100" w:type="dxa"/>
              <w:left w:w="100" w:type="dxa"/>
              <w:bottom w:w="100" w:type="dxa"/>
              <w:right w:w="100" w:type="dxa"/>
            </w:tcMar>
          </w:tcPr>
          <w:p w14:paraId="232D129F"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Disponibilidad del servicio</w:t>
            </w:r>
          </w:p>
        </w:tc>
        <w:tc>
          <w:tcPr>
            <w:tcW w:w="2946" w:type="dxa"/>
            <w:shd w:val="clear" w:color="auto" w:fill="F9CB9C"/>
            <w:tcMar>
              <w:top w:w="100" w:type="dxa"/>
              <w:left w:w="100" w:type="dxa"/>
              <w:bottom w:w="100" w:type="dxa"/>
              <w:right w:w="100" w:type="dxa"/>
            </w:tcMar>
          </w:tcPr>
          <w:p w14:paraId="133020FA"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Roboto" w:eastAsia="Roboto" w:hAnsi="Roboto" w:cs="Roboto"/>
                <w:sz w:val="24"/>
                <w:szCs w:val="24"/>
              </w:rPr>
              <w:t xml:space="preserve">Mide el porcentaje de tiempo en que el portal y los servicios de </w:t>
            </w:r>
            <w:proofErr w:type="spellStart"/>
            <w:r>
              <w:rPr>
                <w:rFonts w:ascii="Roboto" w:eastAsia="Roboto" w:hAnsi="Roboto" w:cs="Roboto"/>
                <w:sz w:val="24"/>
                <w:szCs w:val="24"/>
              </w:rPr>
              <w:t>EcuDatos</w:t>
            </w:r>
            <w:proofErr w:type="spellEnd"/>
            <w:r>
              <w:rPr>
                <w:rFonts w:ascii="Roboto" w:eastAsia="Roboto" w:hAnsi="Roboto" w:cs="Roboto"/>
                <w:sz w:val="24"/>
                <w:szCs w:val="24"/>
              </w:rPr>
              <w:t xml:space="preserve"> están operativos y accesibles para los usuarios</w:t>
            </w:r>
          </w:p>
        </w:tc>
        <w:tc>
          <w:tcPr>
            <w:tcW w:w="2946" w:type="dxa"/>
            <w:shd w:val="clear" w:color="auto" w:fill="F9CB9C"/>
            <w:tcMar>
              <w:top w:w="100" w:type="dxa"/>
              <w:left w:w="100" w:type="dxa"/>
              <w:bottom w:w="100" w:type="dxa"/>
              <w:right w:w="100" w:type="dxa"/>
            </w:tcMar>
          </w:tcPr>
          <w:p w14:paraId="386DC7AD"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Roboto" w:eastAsia="Roboto" w:hAnsi="Roboto" w:cs="Roboto"/>
                <w:sz w:val="24"/>
                <w:szCs w:val="24"/>
              </w:rPr>
              <w:t>Se realiza un monitoreo continuo de la plataforma y se registran los periodos de inactividad con ello se calcula la disponibilidad como porcentaje del tiempo total del periodo</w:t>
            </w:r>
          </w:p>
        </w:tc>
      </w:tr>
      <w:tr w:rsidR="00F010E6" w14:paraId="213CE7A4" w14:textId="77777777">
        <w:tc>
          <w:tcPr>
            <w:tcW w:w="2946" w:type="dxa"/>
            <w:shd w:val="clear" w:color="auto" w:fill="F6B26B"/>
            <w:tcMar>
              <w:top w:w="100" w:type="dxa"/>
              <w:left w:w="100" w:type="dxa"/>
              <w:bottom w:w="100" w:type="dxa"/>
              <w:right w:w="100" w:type="dxa"/>
            </w:tcMar>
          </w:tcPr>
          <w:p w14:paraId="09760460"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t xml:space="preserve">Índice de satisfacción </w:t>
            </w:r>
            <w:r>
              <w:rPr>
                <w:rFonts w:ascii="Arial" w:eastAsia="Arial" w:hAnsi="Arial" w:cs="Arial"/>
                <w:b/>
                <w:bCs/>
                <w:sz w:val="24"/>
                <w:szCs w:val="24"/>
              </w:rPr>
              <w:lastRenderedPageBreak/>
              <w:t>del usuario</w:t>
            </w:r>
          </w:p>
        </w:tc>
        <w:tc>
          <w:tcPr>
            <w:tcW w:w="2946" w:type="dxa"/>
            <w:shd w:val="clear" w:color="auto" w:fill="F9CB9C"/>
            <w:tcMar>
              <w:top w:w="100" w:type="dxa"/>
              <w:left w:w="100" w:type="dxa"/>
              <w:bottom w:w="100" w:type="dxa"/>
              <w:right w:w="100" w:type="dxa"/>
            </w:tcMar>
          </w:tcPr>
          <w:p w14:paraId="0F9297FE"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Roboto" w:eastAsia="Roboto" w:hAnsi="Roboto" w:cs="Roboto"/>
                <w:sz w:val="24"/>
                <w:szCs w:val="24"/>
              </w:rPr>
              <w:lastRenderedPageBreak/>
              <w:t xml:space="preserve">Refleja el nivel de </w:t>
            </w:r>
            <w:r>
              <w:rPr>
                <w:rFonts w:ascii="Roboto" w:eastAsia="Roboto" w:hAnsi="Roboto" w:cs="Roboto"/>
                <w:sz w:val="24"/>
                <w:szCs w:val="24"/>
              </w:rPr>
              <w:lastRenderedPageBreak/>
              <w:t xml:space="preserve">satisfacción de los ciudadanos con los servicios digitales proporcionados por el Ministerio a través de </w:t>
            </w:r>
            <w:proofErr w:type="spellStart"/>
            <w:r>
              <w:rPr>
                <w:rFonts w:ascii="Roboto" w:eastAsia="Roboto" w:hAnsi="Roboto" w:cs="Roboto"/>
                <w:sz w:val="24"/>
                <w:szCs w:val="24"/>
              </w:rPr>
              <w:t>EcuDatos</w:t>
            </w:r>
            <w:proofErr w:type="spellEnd"/>
          </w:p>
        </w:tc>
        <w:tc>
          <w:tcPr>
            <w:tcW w:w="2946" w:type="dxa"/>
            <w:shd w:val="clear" w:color="auto" w:fill="F9CB9C"/>
            <w:tcMar>
              <w:top w:w="100" w:type="dxa"/>
              <w:left w:w="100" w:type="dxa"/>
              <w:bottom w:w="100" w:type="dxa"/>
              <w:right w:w="100" w:type="dxa"/>
            </w:tcMar>
          </w:tcPr>
          <w:p w14:paraId="05DD98D5"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sz w:val="24"/>
                <w:szCs w:val="24"/>
              </w:rPr>
            </w:pPr>
            <w:r>
              <w:rPr>
                <w:rFonts w:ascii="Roboto" w:eastAsia="Roboto" w:hAnsi="Roboto" w:cs="Roboto"/>
                <w:sz w:val="24"/>
                <w:szCs w:val="24"/>
              </w:rPr>
              <w:lastRenderedPageBreak/>
              <w:t xml:space="preserve">Se aplican encuestas de </w:t>
            </w:r>
            <w:r>
              <w:rPr>
                <w:rFonts w:ascii="Roboto" w:eastAsia="Roboto" w:hAnsi="Roboto" w:cs="Roboto"/>
                <w:sz w:val="24"/>
                <w:szCs w:val="24"/>
              </w:rPr>
              <w:lastRenderedPageBreak/>
              <w:t>satisfacción al finalizar trámites o en campañas periódicas y se obtiene un índice a partir de las calificaciones de los usuarios</w:t>
            </w:r>
          </w:p>
        </w:tc>
      </w:tr>
      <w:tr w:rsidR="00F010E6" w14:paraId="5B0E4725" w14:textId="77777777">
        <w:tc>
          <w:tcPr>
            <w:tcW w:w="2946" w:type="dxa"/>
            <w:shd w:val="clear" w:color="auto" w:fill="F6B26B"/>
            <w:tcMar>
              <w:top w:w="100" w:type="dxa"/>
              <w:left w:w="100" w:type="dxa"/>
              <w:bottom w:w="100" w:type="dxa"/>
              <w:right w:w="100" w:type="dxa"/>
            </w:tcMar>
          </w:tcPr>
          <w:p w14:paraId="388F4443" w14:textId="77777777" w:rsidR="00F010E6" w:rsidRDefault="00313257">
            <w:pPr>
              <w:widowControl w:val="0"/>
              <w:pBdr>
                <w:top w:val="nil"/>
                <w:left w:val="nil"/>
                <w:bottom w:val="nil"/>
                <w:right w:val="nil"/>
                <w:between w:val="nil"/>
              </w:pBdr>
              <w:spacing w:after="0" w:line="240" w:lineRule="auto"/>
              <w:jc w:val="both"/>
              <w:rPr>
                <w:rFonts w:ascii="Arial" w:eastAsia="Arial" w:hAnsi="Arial" w:cs="Arial"/>
                <w:b/>
                <w:bCs/>
                <w:sz w:val="24"/>
                <w:szCs w:val="24"/>
              </w:rPr>
            </w:pPr>
            <w:r>
              <w:rPr>
                <w:rFonts w:ascii="Arial" w:eastAsia="Arial" w:hAnsi="Arial" w:cs="Arial"/>
                <w:b/>
                <w:bCs/>
                <w:sz w:val="24"/>
                <w:szCs w:val="24"/>
              </w:rPr>
              <w:lastRenderedPageBreak/>
              <w:t>Cumplimiento normativo</w:t>
            </w:r>
          </w:p>
        </w:tc>
        <w:tc>
          <w:tcPr>
            <w:tcW w:w="2946" w:type="dxa"/>
            <w:shd w:val="clear" w:color="auto" w:fill="F9CB9C"/>
            <w:tcMar>
              <w:top w:w="100" w:type="dxa"/>
              <w:left w:w="100" w:type="dxa"/>
              <w:bottom w:w="100" w:type="dxa"/>
              <w:right w:w="100" w:type="dxa"/>
            </w:tcMar>
          </w:tcPr>
          <w:p w14:paraId="6B3A9554" w14:textId="77777777" w:rsidR="00F010E6" w:rsidRDefault="00313257">
            <w:pPr>
              <w:widowControl w:val="0"/>
              <w:pBdr>
                <w:top w:val="nil"/>
                <w:left w:val="nil"/>
                <w:bottom w:val="nil"/>
                <w:right w:val="nil"/>
                <w:between w:val="nil"/>
              </w:pBdr>
              <w:spacing w:after="0" w:line="240" w:lineRule="auto"/>
              <w:jc w:val="both"/>
              <w:rPr>
                <w:rFonts w:ascii="Roboto" w:eastAsia="Roboto" w:hAnsi="Roboto" w:cs="Roboto"/>
                <w:sz w:val="24"/>
                <w:szCs w:val="24"/>
              </w:rPr>
            </w:pPr>
            <w:r>
              <w:rPr>
                <w:rFonts w:ascii="Roboto" w:eastAsia="Roboto" w:hAnsi="Roboto" w:cs="Roboto"/>
                <w:sz w:val="24"/>
                <w:szCs w:val="24"/>
              </w:rPr>
              <w:t>Indica el grado en que los servicios de TI públicos cumplen las regulaciones y normativas vigentes en materia de seguridad, privacidad y calidad</w:t>
            </w:r>
          </w:p>
        </w:tc>
        <w:tc>
          <w:tcPr>
            <w:tcW w:w="2946" w:type="dxa"/>
            <w:shd w:val="clear" w:color="auto" w:fill="F9CB9C"/>
            <w:tcMar>
              <w:top w:w="100" w:type="dxa"/>
              <w:left w:w="100" w:type="dxa"/>
              <w:bottom w:w="100" w:type="dxa"/>
              <w:right w:w="100" w:type="dxa"/>
            </w:tcMar>
          </w:tcPr>
          <w:p w14:paraId="417FB34C" w14:textId="77777777" w:rsidR="00F010E6" w:rsidRDefault="00313257">
            <w:pPr>
              <w:widowControl w:val="0"/>
              <w:pBdr>
                <w:top w:val="nil"/>
                <w:left w:val="nil"/>
                <w:bottom w:val="nil"/>
                <w:right w:val="nil"/>
                <w:between w:val="nil"/>
              </w:pBdr>
              <w:spacing w:after="0" w:line="240" w:lineRule="auto"/>
              <w:jc w:val="both"/>
              <w:rPr>
                <w:rFonts w:ascii="Roboto" w:eastAsia="Roboto" w:hAnsi="Roboto" w:cs="Roboto"/>
                <w:sz w:val="24"/>
                <w:szCs w:val="24"/>
              </w:rPr>
            </w:pPr>
            <w:r>
              <w:rPr>
                <w:rFonts w:ascii="Roboto" w:eastAsia="Roboto" w:hAnsi="Roboto" w:cs="Roboto"/>
                <w:sz w:val="24"/>
                <w:szCs w:val="24"/>
              </w:rPr>
              <w:t>Se identifica el conjunto de requisitos normativos aplicables como leyes, reglamentos, estándares que a partir de auditorías internas o externas, se calcula el porcentaje de requisitos cumplidos frente al total evaluado</w:t>
            </w:r>
          </w:p>
        </w:tc>
      </w:tr>
    </w:tbl>
    <w:p w14:paraId="4DCC3CCB" w14:textId="77777777" w:rsidR="00F010E6" w:rsidRDefault="00F010E6">
      <w:pPr>
        <w:spacing w:after="0" w:line="360" w:lineRule="auto"/>
        <w:jc w:val="both"/>
        <w:rPr>
          <w:rFonts w:ascii="Arial" w:eastAsia="Arial" w:hAnsi="Arial" w:cs="Arial"/>
          <w:b/>
          <w:bCs/>
          <w:sz w:val="24"/>
          <w:szCs w:val="24"/>
        </w:rPr>
      </w:pPr>
    </w:p>
    <w:p w14:paraId="2F45163B" w14:textId="77777777" w:rsidR="00F010E6" w:rsidRDefault="00313257">
      <w:pPr>
        <w:spacing w:after="0" w:line="360" w:lineRule="auto"/>
        <w:jc w:val="both"/>
        <w:rPr>
          <w:rFonts w:ascii="Arial" w:eastAsia="Arial" w:hAnsi="Arial" w:cs="Arial"/>
          <w:sz w:val="24"/>
          <w:szCs w:val="24"/>
        </w:rPr>
      </w:pPr>
      <w:proofErr w:type="spellStart"/>
      <w:r>
        <w:rPr>
          <w:rFonts w:ascii="Arial" w:eastAsia="Arial" w:hAnsi="Arial" w:cs="Arial"/>
          <w:b/>
          <w:bCs/>
          <w:sz w:val="24"/>
          <w:szCs w:val="24"/>
        </w:rPr>
        <w:t>Conclucion</w:t>
      </w:r>
      <w:proofErr w:type="spellEnd"/>
      <w:r>
        <w:rPr>
          <w:rFonts w:ascii="Arial" w:eastAsia="Arial" w:hAnsi="Arial" w:cs="Arial"/>
          <w:sz w:val="24"/>
          <w:szCs w:val="24"/>
        </w:rPr>
        <w:br/>
        <w:t xml:space="preserve">En conclusión, el modelo propuesto para el modelo propuesto para el Ministerio de Innovación y Servicios Digitales, a través de la plataforma </w:t>
      </w:r>
      <w:proofErr w:type="spellStart"/>
      <w:r>
        <w:rPr>
          <w:rFonts w:ascii="Arial" w:eastAsia="Arial" w:hAnsi="Arial" w:cs="Arial"/>
          <w:sz w:val="24"/>
          <w:szCs w:val="24"/>
        </w:rPr>
        <w:t>EcuDatos</w:t>
      </w:r>
      <w:proofErr w:type="spellEnd"/>
      <w:r>
        <w:rPr>
          <w:rFonts w:ascii="Arial" w:eastAsia="Arial" w:hAnsi="Arial" w:cs="Arial"/>
          <w:sz w:val="24"/>
          <w:szCs w:val="24"/>
        </w:rPr>
        <w:t>, asegura que los servicios públicos digitales se gestionen con transparencia, participación ciudadana e innovación, sobre una infraestructura segura e interoperable, con controles e indicadores que permitan la mejora continua</w:t>
      </w:r>
    </w:p>
    <w:p w14:paraId="0872B126" w14:textId="77777777" w:rsidR="00F010E6" w:rsidRDefault="00F010E6">
      <w:pPr>
        <w:spacing w:after="0" w:line="360" w:lineRule="auto"/>
        <w:ind w:left="720"/>
        <w:jc w:val="both"/>
        <w:rPr>
          <w:rFonts w:ascii="Arial" w:eastAsia="Arial" w:hAnsi="Arial" w:cs="Arial"/>
          <w:sz w:val="24"/>
          <w:szCs w:val="24"/>
        </w:rPr>
      </w:pPr>
    </w:p>
    <w:p w14:paraId="3302BEDF" w14:textId="77777777" w:rsidR="00F010E6" w:rsidRDefault="00F010E6">
      <w:pPr>
        <w:spacing w:after="0" w:line="276" w:lineRule="auto"/>
        <w:ind w:left="720"/>
        <w:rPr>
          <w:rFonts w:ascii="Arial" w:eastAsia="Arial" w:hAnsi="Arial" w:cs="Arial"/>
          <w:sz w:val="24"/>
          <w:szCs w:val="24"/>
        </w:rPr>
      </w:pPr>
    </w:p>
    <w:p w14:paraId="0B61301B" w14:textId="77777777" w:rsidR="00F010E6" w:rsidRDefault="00313257">
      <w:pPr>
        <w:spacing w:after="0" w:line="360" w:lineRule="auto"/>
        <w:rPr>
          <w:rFonts w:ascii="Arial" w:eastAsia="Arial" w:hAnsi="Arial" w:cs="Arial"/>
          <w:sz w:val="24"/>
          <w:szCs w:val="24"/>
        </w:rPr>
      </w:pPr>
      <w:r>
        <w:rPr>
          <w:rFonts w:ascii="Arial" w:eastAsia="Arial" w:hAnsi="Arial" w:cs="Arial"/>
          <w:sz w:val="24"/>
          <w:szCs w:val="24"/>
        </w:rPr>
        <w:t>5. Se deberá elaborar un video explicativo que desarrolle los cuatro literales mencionados previamente, garantizando la participación activa de todos los integrantes del grupo.</w:t>
      </w:r>
      <w:r>
        <w:rPr>
          <w:rFonts w:ascii="Arial" w:eastAsia="Arial" w:hAnsi="Arial" w:cs="Arial"/>
          <w:sz w:val="24"/>
          <w:szCs w:val="24"/>
        </w:rPr>
        <w:br/>
        <w:t>El enlace del video deberá incorporarse en el mismo documento. Cada integrante deberá intervenir de manera visible durante la grabación.</w:t>
      </w:r>
    </w:p>
    <w:p w14:paraId="2A7F2D0A" w14:textId="77777777" w:rsidR="00F010E6" w:rsidRDefault="00313257">
      <w:pPr>
        <w:spacing w:after="0" w:line="360" w:lineRule="auto"/>
        <w:rPr>
          <w:rFonts w:ascii="Arial" w:eastAsia="Arial" w:hAnsi="Arial" w:cs="Arial"/>
          <w:b/>
          <w:bCs/>
          <w:sz w:val="24"/>
          <w:szCs w:val="24"/>
        </w:rPr>
      </w:pPr>
      <w:r>
        <w:rPr>
          <w:rFonts w:ascii="Arial" w:eastAsia="Arial" w:hAnsi="Arial" w:cs="Arial"/>
          <w:b/>
          <w:bCs/>
          <w:sz w:val="24"/>
          <w:szCs w:val="24"/>
        </w:rPr>
        <w:t>Link</w:t>
      </w:r>
    </w:p>
    <w:p w14:paraId="6BEF9912" w14:textId="359ADFD7" w:rsidR="00F010E6" w:rsidRDefault="001D29E4">
      <w:pPr>
        <w:spacing w:after="0" w:line="360" w:lineRule="auto"/>
        <w:rPr>
          <w:rFonts w:ascii="Arial" w:eastAsia="Arial" w:hAnsi="Arial" w:cs="Arial"/>
          <w:color w:val="1155CC"/>
          <w:sz w:val="24"/>
          <w:szCs w:val="24"/>
          <w:u w:val="single"/>
        </w:rPr>
      </w:pPr>
      <w:hyperlink r:id="rId12">
        <w:r w:rsidR="00313257">
          <w:rPr>
            <w:rFonts w:ascii="Arial" w:eastAsia="Arial" w:hAnsi="Arial" w:cs="Arial"/>
            <w:color w:val="1155CC"/>
            <w:sz w:val="24"/>
            <w:szCs w:val="24"/>
            <w:u w:val="single"/>
          </w:rPr>
          <w:t>Grupo 4 Modelos de administración T.I. Normas y Estándares</w:t>
        </w:r>
      </w:hyperlink>
    </w:p>
    <w:p w14:paraId="118A1AA4" w14:textId="7A2CCFC1" w:rsidR="00DD5DBD" w:rsidRDefault="00DD5DBD">
      <w:pPr>
        <w:spacing w:after="0" w:line="360" w:lineRule="auto"/>
        <w:rPr>
          <w:rFonts w:ascii="Arial" w:eastAsia="Arial" w:hAnsi="Arial" w:cs="Arial"/>
          <w:color w:val="1155CC"/>
          <w:sz w:val="24"/>
          <w:szCs w:val="24"/>
          <w:u w:val="single"/>
        </w:rPr>
      </w:pPr>
    </w:p>
    <w:p w14:paraId="242B1893" w14:textId="245A83D0" w:rsidR="00DD5DBD" w:rsidRDefault="00DD5DBD">
      <w:pPr>
        <w:spacing w:after="0" w:line="360" w:lineRule="auto"/>
        <w:rPr>
          <w:rFonts w:ascii="Arial" w:eastAsia="Arial" w:hAnsi="Arial" w:cs="Arial"/>
          <w:color w:val="1155CC"/>
          <w:sz w:val="24"/>
          <w:szCs w:val="24"/>
          <w:u w:val="single"/>
        </w:rPr>
      </w:pPr>
    </w:p>
    <w:p w14:paraId="3F7F962F" w14:textId="77777777" w:rsidR="00DD5DBD" w:rsidRDefault="00DD5DBD">
      <w:pPr>
        <w:spacing w:after="0" w:line="360" w:lineRule="auto"/>
        <w:rPr>
          <w:rFonts w:ascii="Arial" w:eastAsia="Arial" w:hAnsi="Arial" w:cs="Arial"/>
          <w:sz w:val="24"/>
          <w:szCs w:val="24"/>
        </w:rPr>
      </w:pPr>
      <w:bookmarkStart w:id="0" w:name="_GoBack"/>
      <w:bookmarkEnd w:id="0"/>
    </w:p>
    <w:p w14:paraId="61D02978" w14:textId="77777777" w:rsidR="00F010E6" w:rsidRDefault="00F010E6">
      <w:pPr>
        <w:jc w:val="both"/>
        <w:rPr>
          <w:sz w:val="24"/>
          <w:szCs w:val="24"/>
        </w:rPr>
      </w:pPr>
    </w:p>
    <w:p w14:paraId="09D3CA06" w14:textId="77777777" w:rsidR="00F010E6" w:rsidRDefault="00313257">
      <w:pPr>
        <w:jc w:val="both"/>
        <w:rPr>
          <w:b/>
          <w:bCs/>
          <w:sz w:val="24"/>
          <w:szCs w:val="24"/>
        </w:rPr>
      </w:pPr>
      <w:r>
        <w:rPr>
          <w:b/>
          <w:bCs/>
          <w:sz w:val="24"/>
          <w:szCs w:val="24"/>
        </w:rPr>
        <w:lastRenderedPageBreak/>
        <w:t>Referencias</w:t>
      </w:r>
    </w:p>
    <w:p w14:paraId="1CF9EB19" w14:textId="77777777" w:rsidR="00F010E6" w:rsidRDefault="00313257">
      <w:pPr>
        <w:jc w:val="both"/>
        <w:rPr>
          <w:sz w:val="24"/>
          <w:szCs w:val="24"/>
        </w:rPr>
      </w:pPr>
      <w:r>
        <w:rPr>
          <w:b/>
          <w:bCs/>
          <w:sz w:val="24"/>
          <w:szCs w:val="24"/>
        </w:rPr>
        <w:br/>
      </w:r>
      <w:r>
        <w:rPr>
          <w:sz w:val="24"/>
          <w:szCs w:val="24"/>
        </w:rPr>
        <w:t xml:space="preserve">Ramos, F. R. (2024, </w:t>
      </w:r>
      <w:proofErr w:type="spellStart"/>
      <w:r>
        <w:rPr>
          <w:sz w:val="24"/>
          <w:szCs w:val="24"/>
        </w:rPr>
        <w:t>November</w:t>
      </w:r>
      <w:proofErr w:type="spellEnd"/>
      <w:r>
        <w:rPr>
          <w:sz w:val="24"/>
          <w:szCs w:val="24"/>
        </w:rPr>
        <w:t xml:space="preserve"> 15). COBIT: Indicadores de rendimiento y monitorización de TI para una gobernanza óptima. </w:t>
      </w:r>
      <w:proofErr w:type="spellStart"/>
      <w:r>
        <w:rPr>
          <w:sz w:val="24"/>
          <w:szCs w:val="24"/>
        </w:rPr>
        <w:t>Maturity</w:t>
      </w:r>
      <w:proofErr w:type="spellEnd"/>
      <w:r>
        <w:rPr>
          <w:sz w:val="24"/>
          <w:szCs w:val="24"/>
        </w:rPr>
        <w:t xml:space="preserve"> </w:t>
      </w:r>
      <w:proofErr w:type="spellStart"/>
      <w:r>
        <w:rPr>
          <w:sz w:val="24"/>
          <w:szCs w:val="24"/>
        </w:rPr>
        <w:t>Lab</w:t>
      </w:r>
      <w:proofErr w:type="spellEnd"/>
      <w:r>
        <w:rPr>
          <w:sz w:val="24"/>
          <w:szCs w:val="24"/>
        </w:rPr>
        <w:t xml:space="preserve"> - Business Management </w:t>
      </w:r>
      <w:proofErr w:type="spellStart"/>
      <w:r>
        <w:rPr>
          <w:sz w:val="24"/>
          <w:szCs w:val="24"/>
        </w:rPr>
        <w:t>Maturity</w:t>
      </w:r>
      <w:proofErr w:type="spellEnd"/>
      <w:r>
        <w:rPr>
          <w:sz w:val="24"/>
          <w:szCs w:val="24"/>
        </w:rPr>
        <w:t xml:space="preserve">. </w:t>
      </w:r>
      <w:hyperlink r:id="rId13">
        <w:r>
          <w:rPr>
            <w:color w:val="1155CC"/>
            <w:sz w:val="24"/>
            <w:szCs w:val="24"/>
            <w:u w:val="single"/>
          </w:rPr>
          <w:t>https://maturitylab.com/es/cobit-indicadores-de-rendimiento-y-monitorizacion-de-ti-para-una-gobernanza-optima/</w:t>
        </w:r>
      </w:hyperlink>
      <w:r>
        <w:rPr>
          <w:sz w:val="24"/>
          <w:szCs w:val="24"/>
        </w:rPr>
        <w:t xml:space="preserve"> </w:t>
      </w:r>
    </w:p>
    <w:p w14:paraId="3ABCEA49" w14:textId="77777777" w:rsidR="00F010E6" w:rsidRDefault="00313257">
      <w:pPr>
        <w:jc w:val="both"/>
        <w:rPr>
          <w:sz w:val="24"/>
          <w:szCs w:val="24"/>
        </w:rPr>
      </w:pPr>
      <w:r>
        <w:rPr>
          <w:sz w:val="24"/>
          <w:szCs w:val="24"/>
        </w:rPr>
        <w:t xml:space="preserve">‌Servicios de TI gestionados para el gobierno | </w:t>
      </w:r>
      <w:proofErr w:type="spellStart"/>
      <w:r>
        <w:rPr>
          <w:sz w:val="24"/>
          <w:szCs w:val="24"/>
        </w:rPr>
        <w:t>Rootstack</w:t>
      </w:r>
      <w:proofErr w:type="spellEnd"/>
      <w:r>
        <w:rPr>
          <w:sz w:val="24"/>
          <w:szCs w:val="24"/>
        </w:rPr>
        <w:t xml:space="preserve">. (2024). </w:t>
      </w:r>
      <w:proofErr w:type="spellStart"/>
      <w:r>
        <w:rPr>
          <w:sz w:val="24"/>
          <w:szCs w:val="24"/>
        </w:rPr>
        <w:t>Rootstack</w:t>
      </w:r>
      <w:proofErr w:type="spellEnd"/>
      <w:r>
        <w:rPr>
          <w:sz w:val="24"/>
          <w:szCs w:val="24"/>
        </w:rPr>
        <w:t xml:space="preserve">. </w:t>
      </w:r>
      <w:hyperlink r:id="rId14">
        <w:r>
          <w:rPr>
            <w:color w:val="1155CC"/>
            <w:sz w:val="24"/>
            <w:szCs w:val="24"/>
            <w:u w:val="single"/>
          </w:rPr>
          <w:t>https://rootstack.com/es/blog/servicios-de-ti-gestionados-para-el-gobierno</w:t>
        </w:r>
      </w:hyperlink>
      <w:r>
        <w:rPr>
          <w:sz w:val="24"/>
          <w:szCs w:val="24"/>
        </w:rPr>
        <w:t xml:space="preserve"> </w:t>
      </w:r>
    </w:p>
    <w:p w14:paraId="7C74C1F1" w14:textId="77777777" w:rsidR="00F010E6" w:rsidRDefault="00313257">
      <w:pPr>
        <w:jc w:val="both"/>
        <w:rPr>
          <w:sz w:val="24"/>
          <w:szCs w:val="24"/>
        </w:rPr>
      </w:pPr>
      <w:r>
        <w:rPr>
          <w:sz w:val="24"/>
          <w:szCs w:val="24"/>
        </w:rPr>
        <w:t xml:space="preserve">‌O’Brien, K., &amp; </w:t>
      </w:r>
      <w:proofErr w:type="spellStart"/>
      <w:r>
        <w:rPr>
          <w:sz w:val="24"/>
          <w:szCs w:val="24"/>
        </w:rPr>
        <w:t>Downie</w:t>
      </w:r>
      <w:proofErr w:type="spellEnd"/>
      <w:r>
        <w:rPr>
          <w:sz w:val="24"/>
          <w:szCs w:val="24"/>
        </w:rPr>
        <w:t xml:space="preserve">, A. (2024, </w:t>
      </w:r>
      <w:proofErr w:type="spellStart"/>
      <w:r>
        <w:rPr>
          <w:sz w:val="24"/>
          <w:szCs w:val="24"/>
        </w:rPr>
        <w:t>July</w:t>
      </w:r>
      <w:proofErr w:type="spellEnd"/>
      <w:r>
        <w:rPr>
          <w:sz w:val="24"/>
          <w:szCs w:val="24"/>
        </w:rPr>
        <w:t xml:space="preserve"> 31). Gobierno de TI. Ibm.com. </w:t>
      </w:r>
      <w:hyperlink r:id="rId15">
        <w:r>
          <w:rPr>
            <w:color w:val="1155CC"/>
            <w:sz w:val="24"/>
            <w:szCs w:val="24"/>
            <w:u w:val="single"/>
          </w:rPr>
          <w:t>https://www.ibm.com/es-es/think/topics/it-governance</w:t>
        </w:r>
      </w:hyperlink>
      <w:r>
        <w:rPr>
          <w:sz w:val="24"/>
          <w:szCs w:val="24"/>
        </w:rPr>
        <w:t xml:space="preserve"> </w:t>
      </w:r>
    </w:p>
    <w:p w14:paraId="26412912" w14:textId="77777777" w:rsidR="00F010E6" w:rsidRDefault="00F010E6">
      <w:pPr>
        <w:jc w:val="both"/>
        <w:rPr>
          <w:sz w:val="24"/>
          <w:szCs w:val="24"/>
        </w:rPr>
      </w:pPr>
    </w:p>
    <w:p w14:paraId="2CD16E62" w14:textId="77777777" w:rsidR="00F010E6" w:rsidRDefault="00313257">
      <w:pPr>
        <w:jc w:val="both"/>
        <w:rPr>
          <w:sz w:val="24"/>
          <w:szCs w:val="24"/>
        </w:rPr>
      </w:pPr>
      <w:r>
        <w:rPr>
          <w:sz w:val="24"/>
          <w:szCs w:val="24"/>
        </w:rPr>
        <w:t>‌</w:t>
      </w:r>
    </w:p>
    <w:sectPr w:rsidR="00F010E6">
      <w:headerReference w:type="default" r:id="rId16"/>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017948" w14:textId="77777777" w:rsidR="001D29E4" w:rsidRDefault="001D29E4">
      <w:pPr>
        <w:spacing w:after="0" w:line="240" w:lineRule="auto"/>
      </w:pPr>
      <w:r>
        <w:separator/>
      </w:r>
    </w:p>
  </w:endnote>
  <w:endnote w:type="continuationSeparator" w:id="0">
    <w:p w14:paraId="69C01D13" w14:textId="77777777" w:rsidR="001D29E4" w:rsidRDefault="001D2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7596A05-2B28-4AE9-BE63-E7FD9AC56191}"/>
    <w:embedBold r:id="rId2" w:fontKey="{8EBAB5A8-E67B-488A-A933-D989A15421B5}"/>
  </w:font>
  <w:font w:name="Georgia">
    <w:panose1 w:val="02040502050405020303"/>
    <w:charset w:val="00"/>
    <w:family w:val="roman"/>
    <w:pitch w:val="variable"/>
    <w:sig w:usb0="00000287" w:usb1="00000000" w:usb2="00000000" w:usb3="00000000" w:csb0="0000009F" w:csb1="00000000"/>
    <w:embedItalic r:id="rId3" w:fontKey="{7CC68533-3133-4C8F-A5AC-EAD0BFDFEE65}"/>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w:charset w:val="00"/>
    <w:family w:val="auto"/>
    <w:pitch w:val="variable"/>
    <w:sig w:usb0="E00002FF" w:usb1="5000205B" w:usb2="00000020" w:usb3="00000000" w:csb0="0000019F" w:csb1="00000000"/>
    <w:embedRegular r:id="rId4" w:fontKey="{84CD8200-2495-4D16-9D77-16EF623F936D}"/>
  </w:font>
  <w:font w:name="Cambria">
    <w:panose1 w:val="02040503050406030204"/>
    <w:charset w:val="00"/>
    <w:family w:val="roman"/>
    <w:pitch w:val="variable"/>
    <w:sig w:usb0="E00006FF" w:usb1="420024FF" w:usb2="02000000" w:usb3="00000000" w:csb0="0000019F" w:csb1="00000000"/>
    <w:embedRegular r:id="rId5" w:fontKey="{97477468-5440-41B4-984E-F7D8EB516A97}"/>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D986F0" w14:textId="77777777" w:rsidR="001D29E4" w:rsidRDefault="001D29E4">
      <w:pPr>
        <w:spacing w:after="0" w:line="240" w:lineRule="auto"/>
      </w:pPr>
      <w:r>
        <w:separator/>
      </w:r>
    </w:p>
  </w:footnote>
  <w:footnote w:type="continuationSeparator" w:id="0">
    <w:p w14:paraId="6C91235B" w14:textId="77777777" w:rsidR="001D29E4" w:rsidRDefault="001D2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AA6AE" w14:textId="77777777" w:rsidR="00F010E6" w:rsidRDefault="00F010E6">
    <w:pPr>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145E1"/>
    <w:multiLevelType w:val="multilevel"/>
    <w:tmpl w:val="36642C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31D3AFB"/>
    <w:multiLevelType w:val="multilevel"/>
    <w:tmpl w:val="F7DA0F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4F731A8"/>
    <w:multiLevelType w:val="multilevel"/>
    <w:tmpl w:val="7E727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5D1EEC"/>
    <w:multiLevelType w:val="multilevel"/>
    <w:tmpl w:val="DD48B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1307AE"/>
    <w:multiLevelType w:val="multilevel"/>
    <w:tmpl w:val="B2329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AC298E"/>
    <w:multiLevelType w:val="hybridMultilevel"/>
    <w:tmpl w:val="EF320DD6"/>
    <w:lvl w:ilvl="0" w:tplc="300A000D">
      <w:start w:val="1"/>
      <w:numFmt w:val="bullet"/>
      <w:lvlText w:val=""/>
      <w:lvlJc w:val="left"/>
      <w:pPr>
        <w:ind w:left="1080" w:hanging="360"/>
      </w:pPr>
      <w:rPr>
        <w:rFonts w:ascii="Wingdings" w:hAnsi="Wingding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73A959D9"/>
    <w:multiLevelType w:val="multilevel"/>
    <w:tmpl w:val="3E8A7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3"/>
  </w:num>
  <w:num w:numId="3">
    <w:abstractNumId w:val="1"/>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0E6"/>
    <w:rsid w:val="000419DD"/>
    <w:rsid w:val="001D29E4"/>
    <w:rsid w:val="001E6DD4"/>
    <w:rsid w:val="00313257"/>
    <w:rsid w:val="00DD5DBD"/>
    <w:rsid w:val="00F010E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B90F"/>
  <w15:docId w15:val="{3834407C-F1A8-4480-B3B2-F1B273BE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Prrafodelista">
    <w:name w:val="List Paragraph"/>
    <w:basedOn w:val="Normal"/>
    <w:uiPriority w:val="34"/>
    <w:qFormat/>
    <w:rsid w:val="001E6D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canva.com/design/DAG4ah5v7z4/sdmuwim1v5VBt-SuXHAxnA/edit?utm_content=DAG4ah5v7z4&amp;utm_campaign=designshare&amp;utm_medium=link2&amp;utm_source=sharebutton" TargetMode="External"/><Relationship Id="rId13" Type="http://schemas.openxmlformats.org/officeDocument/2006/relationships/hyperlink" Target="https://maturitylab.com/es/cobit-indicadores-de-rendimiento-y-monitorizacion-de-ti-para-una-gobernanza-optim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LIx94XPaO2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utah.edu/itil/itil4.php?utm_source=chatgpt.com" TargetMode="External"/><Relationship Id="rId5" Type="http://schemas.openxmlformats.org/officeDocument/2006/relationships/footnotes" Target="footnotes.xml"/><Relationship Id="rId15" Type="http://schemas.openxmlformats.org/officeDocument/2006/relationships/hyperlink" Target="https://www.ibm.com/es-es/think/topics/it-governance" TargetMode="External"/><Relationship Id="rId10" Type="http://schemas.openxmlformats.org/officeDocument/2006/relationships/hyperlink" Target="https://it.utah.edu/itil/itil4.php?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rootstack.com/es/blog/servicios-de-ti-gestionados-para-el-gobiern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3497</Words>
  <Characters>19236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dc:creator>
  <cp:lastModifiedBy>ISAAC SEBASTIAN PROA�O PANCHI</cp:lastModifiedBy>
  <cp:revision>2</cp:revision>
  <dcterms:created xsi:type="dcterms:W3CDTF">2025-11-15T02:00:00Z</dcterms:created>
  <dcterms:modified xsi:type="dcterms:W3CDTF">2025-11-15T02:00:00Z</dcterms:modified>
</cp:coreProperties>
</file>