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5FB" w:rsidRDefault="004855FB" w:rsidP="004855FB">
      <w:pPr>
        <w:rPr>
          <w:rFonts w:eastAsia="Times New Roman" w:cs="Times New Roman"/>
          <w:sz w:val="28"/>
          <w:szCs w:val="28"/>
        </w:rPr>
      </w:pPr>
      <w:r>
        <w:rPr>
          <w:noProof/>
          <w:lang w:eastAsia="es-MX"/>
        </w:rPr>
        <w:drawing>
          <wp:anchor distT="0" distB="0" distL="0" distR="0" simplePos="0" relativeHeight="251659264" behindDoc="1" locked="0" layoutInCell="1" hidden="0" allowOverlap="1" wp14:anchorId="763A5EF0" wp14:editId="385925EF">
            <wp:simplePos x="0" y="0"/>
            <wp:positionH relativeFrom="column">
              <wp:posOffset>-423039</wp:posOffset>
            </wp:positionH>
            <wp:positionV relativeFrom="paragraph">
              <wp:posOffset>-462034</wp:posOffset>
            </wp:positionV>
            <wp:extent cx="1171575" cy="1173480"/>
            <wp:effectExtent l="0" t="0" r="0" b="0"/>
            <wp:wrapNone/>
            <wp:docPr id="13" name="image10.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png" descr="Forma, Rectángulo&#10;&#10;Descripción generada automáticamente"/>
                    <pic:cNvPicPr preferRelativeResize="0"/>
                  </pic:nvPicPr>
                  <pic:blipFill>
                    <a:blip r:embed="rId7"/>
                    <a:srcRect b="84978"/>
                    <a:stretch>
                      <a:fillRect/>
                    </a:stretch>
                  </pic:blipFill>
                  <pic:spPr>
                    <a:xfrm>
                      <a:off x="0" y="0"/>
                      <a:ext cx="1171575" cy="1173480"/>
                    </a:xfrm>
                    <a:prstGeom prst="rect">
                      <a:avLst/>
                    </a:prstGeom>
                    <a:ln/>
                  </pic:spPr>
                </pic:pic>
              </a:graphicData>
            </a:graphic>
          </wp:anchor>
        </w:drawing>
      </w:r>
    </w:p>
    <w:p w:rsidR="004855FB" w:rsidRPr="00456E0F" w:rsidRDefault="00EE7DB8" w:rsidP="00456E0F">
      <w:pPr>
        <w:jc w:val="center"/>
        <w:rPr>
          <w:rFonts w:eastAsia="Times New Roman" w:cs="Times New Roman"/>
          <w:b/>
          <w:sz w:val="32"/>
          <w:szCs w:val="32"/>
        </w:rPr>
      </w:pPr>
      <w:r>
        <w:rPr>
          <w:rFonts w:eastAsia="Times New Roman" w:cs="Times New Roman"/>
          <w:b/>
          <w:sz w:val="32"/>
          <w:szCs w:val="32"/>
        </w:rPr>
        <w:t xml:space="preserve">        </w:t>
      </w:r>
      <w:r w:rsidR="004855FB">
        <w:rPr>
          <w:rFonts w:eastAsia="Times New Roman" w:cs="Times New Roman"/>
          <w:b/>
          <w:sz w:val="32"/>
          <w:szCs w:val="32"/>
        </w:rPr>
        <w:t>UNIVERSIDAD DE LAS FUERZAS ARMADAS ‘ESPE’</w:t>
      </w:r>
    </w:p>
    <w:p w:rsidR="004855FB" w:rsidRDefault="004855FB" w:rsidP="004855FB">
      <w:pPr>
        <w:jc w:val="center"/>
        <w:rPr>
          <w:rFonts w:eastAsia="Times New Roman" w:cs="Times New Roman"/>
          <w:b/>
          <w:sz w:val="28"/>
          <w:szCs w:val="28"/>
        </w:rPr>
      </w:pPr>
    </w:p>
    <w:p w:rsidR="004855FB" w:rsidRDefault="004855FB" w:rsidP="004855FB">
      <w:pPr>
        <w:jc w:val="center"/>
        <w:rPr>
          <w:rFonts w:eastAsia="Times New Roman" w:cs="Times New Roman"/>
          <w:b/>
          <w:sz w:val="32"/>
          <w:szCs w:val="32"/>
        </w:rPr>
      </w:pPr>
      <w:r>
        <w:rPr>
          <w:rFonts w:eastAsia="Times New Roman" w:cs="Times New Roman"/>
          <w:b/>
          <w:sz w:val="32"/>
          <w:szCs w:val="32"/>
        </w:rPr>
        <w:t>Ingeniería en tecnologías de la información</w:t>
      </w:r>
    </w:p>
    <w:p w:rsidR="004855FB" w:rsidRDefault="004855FB" w:rsidP="00EE7DB8">
      <w:pPr>
        <w:ind w:firstLine="0"/>
        <w:rPr>
          <w:rFonts w:eastAsia="Times New Roman" w:cs="Times New Roman"/>
          <w:sz w:val="32"/>
          <w:szCs w:val="32"/>
        </w:rPr>
      </w:pPr>
    </w:p>
    <w:p w:rsidR="004855FB" w:rsidRPr="00456E0F" w:rsidRDefault="004855FB" w:rsidP="004855FB">
      <w:pPr>
        <w:jc w:val="center"/>
        <w:rPr>
          <w:rFonts w:eastAsia="Times New Roman" w:cs="Times New Roman"/>
          <w:sz w:val="32"/>
          <w:szCs w:val="32"/>
        </w:rPr>
      </w:pPr>
      <w:r>
        <w:rPr>
          <w:rFonts w:eastAsia="Times New Roman" w:cs="Times New Roman"/>
          <w:b/>
          <w:sz w:val="32"/>
          <w:szCs w:val="32"/>
        </w:rPr>
        <w:t>Liderazgo NRC:</w:t>
      </w:r>
      <w:r w:rsidRPr="00456E0F">
        <w:rPr>
          <w:rFonts w:eastAsia="Times New Roman" w:cs="Times New Roman"/>
          <w:sz w:val="32"/>
          <w:szCs w:val="32"/>
        </w:rPr>
        <w:t>28671</w:t>
      </w:r>
    </w:p>
    <w:p w:rsidR="004855FB" w:rsidRDefault="004855FB" w:rsidP="004855FB">
      <w:pPr>
        <w:jc w:val="center"/>
        <w:rPr>
          <w:rFonts w:eastAsia="Times New Roman" w:cs="Times New Roman"/>
          <w:sz w:val="32"/>
          <w:szCs w:val="32"/>
        </w:rPr>
      </w:pPr>
    </w:p>
    <w:p w:rsidR="004855FB" w:rsidRPr="004855FB" w:rsidRDefault="00456E0F" w:rsidP="00456E0F">
      <w:pPr>
        <w:jc w:val="center"/>
        <w:rPr>
          <w:rFonts w:cs="Times New Roman"/>
          <w:b/>
          <w:sz w:val="32"/>
          <w:szCs w:val="32"/>
        </w:rPr>
      </w:pPr>
      <w:r>
        <w:rPr>
          <w:rFonts w:eastAsia="Times New Roman" w:cs="Times New Roman"/>
          <w:b/>
          <w:sz w:val="32"/>
          <w:szCs w:val="32"/>
        </w:rPr>
        <w:t xml:space="preserve">   </w:t>
      </w:r>
      <w:r w:rsidR="004855FB">
        <w:rPr>
          <w:rFonts w:eastAsia="Times New Roman" w:cs="Times New Roman"/>
          <w:b/>
          <w:sz w:val="32"/>
          <w:szCs w:val="32"/>
        </w:rPr>
        <w:t xml:space="preserve"> Actividad Autónoma </w:t>
      </w:r>
      <w:r>
        <w:rPr>
          <w:rFonts w:eastAsia="Times New Roman" w:cs="Times New Roman"/>
          <w:b/>
          <w:sz w:val="32"/>
          <w:szCs w:val="32"/>
        </w:rPr>
        <w:t xml:space="preserve">:  </w:t>
      </w:r>
      <w:hyperlink r:id="rId8" w:tooltip="Vencimiento de GESTIÓN DE LA INCERTIDUMBRE" w:history="1">
        <w:r w:rsidRPr="00456E0F">
          <w:rPr>
            <w:rStyle w:val="Hipervnculo"/>
            <w:rFonts w:cs="Times New Roman"/>
            <w:color w:val="auto"/>
            <w:sz w:val="32"/>
            <w:szCs w:val="32"/>
            <w:u w:val="none"/>
          </w:rPr>
          <w:t>Gestión de la Incertidumbre</w:t>
        </w:r>
      </w:hyperlink>
    </w:p>
    <w:p w:rsidR="004855FB" w:rsidRDefault="004855FB" w:rsidP="004855FB">
      <w:pPr>
        <w:rPr>
          <w:rFonts w:eastAsia="Times New Roman" w:cs="Times New Roman"/>
          <w:b/>
          <w:sz w:val="32"/>
          <w:szCs w:val="32"/>
        </w:rPr>
      </w:pPr>
    </w:p>
    <w:p w:rsidR="004855FB" w:rsidRDefault="004855FB" w:rsidP="004855FB">
      <w:pPr>
        <w:rPr>
          <w:rFonts w:eastAsia="Times New Roman" w:cs="Times New Roman"/>
          <w:b/>
          <w:sz w:val="32"/>
          <w:szCs w:val="32"/>
        </w:rPr>
      </w:pPr>
      <w:r>
        <w:rPr>
          <w:rFonts w:eastAsia="Times New Roman" w:cs="Times New Roman"/>
          <w:b/>
          <w:sz w:val="32"/>
          <w:szCs w:val="32"/>
        </w:rPr>
        <w:t xml:space="preserve">        </w:t>
      </w:r>
      <w:r>
        <w:rPr>
          <w:rFonts w:eastAsia="Times New Roman" w:cs="Times New Roman"/>
          <w:b/>
          <w:sz w:val="32"/>
          <w:szCs w:val="32"/>
        </w:rPr>
        <w:t xml:space="preserve">                            </w:t>
      </w:r>
      <w:r>
        <w:rPr>
          <w:rFonts w:eastAsia="Times New Roman" w:cs="Times New Roman"/>
          <w:b/>
          <w:sz w:val="32"/>
          <w:szCs w:val="32"/>
        </w:rPr>
        <w:t>Nombre del Estudiante:</w:t>
      </w:r>
    </w:p>
    <w:p w:rsidR="004855FB" w:rsidRDefault="004855FB" w:rsidP="004855FB">
      <w:pPr>
        <w:rPr>
          <w:rFonts w:eastAsia="Times New Roman" w:cs="Times New Roman"/>
          <w:sz w:val="32"/>
          <w:szCs w:val="32"/>
        </w:rPr>
      </w:pPr>
    </w:p>
    <w:p w:rsidR="004855FB" w:rsidRDefault="004855FB" w:rsidP="004855FB">
      <w:pPr>
        <w:ind w:firstLine="708"/>
        <w:jc w:val="center"/>
        <w:rPr>
          <w:rFonts w:eastAsia="Times New Roman" w:cs="Times New Roman"/>
          <w:sz w:val="32"/>
          <w:szCs w:val="32"/>
        </w:rPr>
      </w:pPr>
      <w:r>
        <w:rPr>
          <w:rFonts w:eastAsia="Times New Roman" w:cs="Times New Roman"/>
          <w:sz w:val="32"/>
          <w:szCs w:val="32"/>
        </w:rPr>
        <w:t>Isaac Sebastian Proaño Panchi</w:t>
      </w:r>
    </w:p>
    <w:p w:rsidR="004855FB" w:rsidRDefault="004855FB" w:rsidP="004855FB">
      <w:pPr>
        <w:rPr>
          <w:rFonts w:eastAsia="Times New Roman" w:cs="Times New Roman"/>
          <w:b/>
          <w:sz w:val="32"/>
          <w:szCs w:val="32"/>
        </w:rPr>
      </w:pPr>
    </w:p>
    <w:p w:rsidR="004855FB" w:rsidRDefault="004855FB" w:rsidP="00EE7DB8">
      <w:pPr>
        <w:ind w:left="2832" w:firstLine="708"/>
        <w:rPr>
          <w:rFonts w:eastAsia="Times New Roman" w:cs="Times New Roman"/>
          <w:b/>
          <w:sz w:val="32"/>
          <w:szCs w:val="32"/>
        </w:rPr>
      </w:pPr>
      <w:r>
        <w:rPr>
          <w:rFonts w:eastAsia="Times New Roman" w:cs="Times New Roman"/>
          <w:b/>
          <w:sz w:val="32"/>
          <w:szCs w:val="32"/>
        </w:rPr>
        <w:t>DOCENTE:</w:t>
      </w:r>
    </w:p>
    <w:p w:rsidR="004855FB" w:rsidRDefault="004855FB" w:rsidP="004855FB">
      <w:pPr>
        <w:jc w:val="center"/>
        <w:rPr>
          <w:rFonts w:eastAsia="Times New Roman" w:cs="Times New Roman"/>
          <w:sz w:val="32"/>
          <w:szCs w:val="32"/>
        </w:rPr>
      </w:pPr>
      <w:r>
        <w:rPr>
          <w:rFonts w:eastAsia="Times New Roman" w:cs="Times New Roman"/>
          <w:b/>
          <w:sz w:val="32"/>
          <w:szCs w:val="32"/>
        </w:rPr>
        <w:t>Msc:</w:t>
      </w:r>
      <w:r>
        <w:rPr>
          <w:rFonts w:eastAsia="Times New Roman" w:cs="Times New Roman"/>
          <w:b/>
          <w:sz w:val="32"/>
          <w:szCs w:val="32"/>
        </w:rPr>
        <w:t xml:space="preserve"> </w:t>
      </w:r>
      <w:r>
        <w:rPr>
          <w:rFonts w:eastAsia="Times New Roman" w:cs="Times New Roman"/>
          <w:sz w:val="32"/>
          <w:szCs w:val="32"/>
        </w:rPr>
        <w:t>Son</w:t>
      </w:r>
      <w:r w:rsidR="00456E0F">
        <w:rPr>
          <w:rFonts w:eastAsia="Times New Roman" w:cs="Times New Roman"/>
          <w:sz w:val="32"/>
          <w:szCs w:val="32"/>
        </w:rPr>
        <w:t>n</w:t>
      </w:r>
      <w:r>
        <w:rPr>
          <w:rFonts w:eastAsia="Times New Roman" w:cs="Times New Roman"/>
          <w:sz w:val="32"/>
          <w:szCs w:val="32"/>
        </w:rPr>
        <w:t xml:space="preserve">ia Alexandra Heredia </w:t>
      </w:r>
    </w:p>
    <w:p w:rsidR="00456E0F" w:rsidRDefault="00456E0F" w:rsidP="004855FB">
      <w:pPr>
        <w:jc w:val="center"/>
        <w:rPr>
          <w:rFonts w:eastAsia="Times New Roman" w:cs="Times New Roman"/>
          <w:sz w:val="32"/>
          <w:szCs w:val="32"/>
        </w:rPr>
      </w:pPr>
    </w:p>
    <w:p w:rsidR="00456E0F" w:rsidRDefault="00456E0F" w:rsidP="004855FB">
      <w:pPr>
        <w:jc w:val="center"/>
        <w:rPr>
          <w:rFonts w:eastAsia="Times New Roman" w:cs="Times New Roman"/>
          <w:sz w:val="32"/>
          <w:szCs w:val="32"/>
        </w:rPr>
      </w:pPr>
    </w:p>
    <w:p w:rsidR="00456E0F" w:rsidRDefault="00456E0F" w:rsidP="004855FB">
      <w:pPr>
        <w:jc w:val="center"/>
        <w:rPr>
          <w:rFonts w:eastAsia="Times New Roman" w:cs="Times New Roman"/>
          <w:sz w:val="32"/>
          <w:szCs w:val="32"/>
        </w:rPr>
      </w:pPr>
    </w:p>
    <w:p w:rsidR="004855FB" w:rsidRDefault="004855FB" w:rsidP="00EE7DB8">
      <w:pPr>
        <w:ind w:firstLine="0"/>
      </w:pPr>
    </w:p>
    <w:p w:rsidR="008670C0" w:rsidRDefault="008670C0" w:rsidP="008670C0">
      <w:pPr>
        <w:jc w:val="center"/>
        <w:rPr>
          <w:rFonts w:cs="Times New Roman"/>
          <w:b/>
          <w:sz w:val="28"/>
          <w:szCs w:val="28"/>
        </w:rPr>
      </w:pPr>
      <w:r w:rsidRPr="004855FB">
        <w:rPr>
          <w:rFonts w:cs="Times New Roman"/>
          <w:b/>
          <w:sz w:val="28"/>
          <w:szCs w:val="28"/>
        </w:rPr>
        <w:t>Gestión de la incertidumbre e inteligencia emocional</w:t>
      </w:r>
    </w:p>
    <w:p w:rsidR="00EE7DB8" w:rsidRPr="004855FB" w:rsidRDefault="00EE7DB8" w:rsidP="008670C0">
      <w:pPr>
        <w:jc w:val="center"/>
        <w:rPr>
          <w:rFonts w:cs="Times New Roman"/>
          <w:b/>
          <w:sz w:val="28"/>
          <w:szCs w:val="28"/>
        </w:rPr>
      </w:pPr>
    </w:p>
    <w:p w:rsidR="00342BE5" w:rsidRPr="00456E0F" w:rsidRDefault="00342BE5" w:rsidP="00342BE5">
      <w:pPr>
        <w:jc w:val="both"/>
        <w:rPr>
          <w:rFonts w:cs="Times New Roman"/>
          <w:szCs w:val="24"/>
        </w:rPr>
      </w:pPr>
      <w:r w:rsidRPr="00456E0F">
        <w:rPr>
          <w:rFonts w:cs="Times New Roman"/>
          <w:szCs w:val="24"/>
        </w:rPr>
        <w:t xml:space="preserve">A partir del </w:t>
      </w:r>
      <w:r w:rsidR="00EE7DB8" w:rsidRPr="00456E0F">
        <w:rPr>
          <w:rFonts w:cs="Times New Roman"/>
          <w:szCs w:val="24"/>
        </w:rPr>
        <w:t xml:space="preserve">capítulo </w:t>
      </w:r>
      <w:r w:rsidRPr="00456E0F">
        <w:rPr>
          <w:rFonts w:cs="Times New Roman"/>
          <w:szCs w:val="24"/>
        </w:rPr>
        <w:t>se puede percibir una tensión cent</w:t>
      </w:r>
      <w:r w:rsidRPr="00456E0F">
        <w:rPr>
          <w:rFonts w:cs="Times New Roman"/>
          <w:szCs w:val="24"/>
        </w:rPr>
        <w:t>ral que atraviesa todo el texto</w:t>
      </w:r>
      <w:r w:rsidR="00456E0F" w:rsidRPr="00456E0F">
        <w:rPr>
          <w:rFonts w:cs="Times New Roman"/>
          <w:szCs w:val="24"/>
        </w:rPr>
        <w:t xml:space="preserve"> sobre el control</w:t>
      </w:r>
      <w:r w:rsidRPr="00456E0F">
        <w:rPr>
          <w:rFonts w:cs="Times New Roman"/>
          <w:szCs w:val="24"/>
        </w:rPr>
        <w:t xml:space="preserve"> versus</w:t>
      </w:r>
      <w:r w:rsidR="00456E0F" w:rsidRPr="00456E0F">
        <w:rPr>
          <w:rFonts w:cs="Times New Roman"/>
          <w:szCs w:val="24"/>
        </w:rPr>
        <w:t xml:space="preserve"> el cuidado</w:t>
      </w:r>
      <w:r w:rsidRPr="00456E0F">
        <w:rPr>
          <w:rFonts w:cs="Times New Roman"/>
          <w:szCs w:val="24"/>
        </w:rPr>
        <w:t>, esta</w:t>
      </w:r>
      <w:r w:rsidRPr="00456E0F">
        <w:rPr>
          <w:rFonts w:cs="Times New Roman"/>
          <w:szCs w:val="24"/>
        </w:rPr>
        <w:t xml:space="preserve"> tensión no solo moldea el argumento, sino que también sirve como un eje interpretativo para comprender cómo la inteligencia emocional transforma la gestión del riesgo en un mundo contemporáneo lleno de incertidumbre, ine</w:t>
      </w:r>
      <w:r w:rsidRPr="00456E0F">
        <w:rPr>
          <w:rFonts w:cs="Times New Roman"/>
          <w:szCs w:val="24"/>
        </w:rPr>
        <w:t xml:space="preserve">stabilidad y crisis constante. </w:t>
      </w:r>
    </w:p>
    <w:p w:rsidR="00342BE5" w:rsidRPr="00456E0F" w:rsidRDefault="00342BE5" w:rsidP="00342BE5">
      <w:pPr>
        <w:jc w:val="both"/>
        <w:rPr>
          <w:rFonts w:cs="Times New Roman"/>
          <w:szCs w:val="24"/>
        </w:rPr>
      </w:pPr>
      <w:r w:rsidRPr="00456E0F">
        <w:rPr>
          <w:rFonts w:cs="Times New Roman"/>
          <w:szCs w:val="24"/>
        </w:rPr>
        <w:t>La gestión del riesgo ha estado asociada a enfoques técnicos que buscan anticipar escenarios, mitigar amenazas, establecer protocolo</w:t>
      </w:r>
      <w:r w:rsidRPr="00456E0F">
        <w:rPr>
          <w:rFonts w:cs="Times New Roman"/>
          <w:szCs w:val="24"/>
        </w:rPr>
        <w:t>s y reducir variables inciertas, s</w:t>
      </w:r>
      <w:r w:rsidRPr="00456E0F">
        <w:rPr>
          <w:rFonts w:cs="Times New Roman"/>
          <w:szCs w:val="24"/>
        </w:rPr>
        <w:t>in embargo, el texto desafía esta visión al señalar que la incertidumbre actual ya no puede ser completamente</w:t>
      </w:r>
      <w:r w:rsidRPr="00456E0F">
        <w:rPr>
          <w:rFonts w:cs="Times New Roman"/>
          <w:szCs w:val="24"/>
        </w:rPr>
        <w:t xml:space="preserve"> prevista ni dominada, s</w:t>
      </w:r>
      <w:r w:rsidRPr="00456E0F">
        <w:rPr>
          <w:rFonts w:cs="Times New Roman"/>
          <w:szCs w:val="24"/>
        </w:rPr>
        <w:t>e argumenta que los liderazgos tradicionales, que se centran en el control, fracasan al intentar imponer certezas en situaciones donde estas ya no existen.</w:t>
      </w:r>
    </w:p>
    <w:p w:rsidR="00342BE5" w:rsidRPr="00456E0F" w:rsidRDefault="00342BE5" w:rsidP="00342BE5">
      <w:pPr>
        <w:jc w:val="both"/>
        <w:rPr>
          <w:rFonts w:cs="Times New Roman"/>
          <w:szCs w:val="24"/>
        </w:rPr>
      </w:pPr>
      <w:r w:rsidRPr="00456E0F">
        <w:rPr>
          <w:rFonts w:cs="Times New Roman"/>
          <w:szCs w:val="24"/>
        </w:rPr>
        <w:t xml:space="preserve"> En concreto, la inteligencia emocional se presenta como una alternativa ética y práctica que desplaza el enfoque del control rígido hacia un cuidado consciente de las personas. Esta idea se basa en las contribuciones de Goleman, Salovey y Mayer, quienes ven la regulación emocional no como una frialdad instrumental, sino como un equilibrio afectivo y una res</w:t>
      </w:r>
      <w:r w:rsidRPr="00456E0F">
        <w:rPr>
          <w:rFonts w:cs="Times New Roman"/>
          <w:szCs w:val="24"/>
        </w:rPr>
        <w:t>ponsabilidad relacional. Así el liderazgo</w:t>
      </w:r>
      <w:r w:rsidRPr="00456E0F">
        <w:rPr>
          <w:rFonts w:cs="Times New Roman"/>
          <w:szCs w:val="24"/>
        </w:rPr>
        <w:t xml:space="preserve"> emocionalmente inteligente no ignora el riesgo, sino que lo contiene, lo traduce en significado y lo gestiona desde la presencia.</w:t>
      </w:r>
    </w:p>
    <w:p w:rsidR="00342BE5" w:rsidRPr="00456E0F" w:rsidRDefault="00342BE5" w:rsidP="00342BE5">
      <w:pPr>
        <w:jc w:val="both"/>
        <w:rPr>
          <w:rFonts w:cs="Times New Roman"/>
          <w:szCs w:val="24"/>
        </w:rPr>
      </w:pPr>
      <w:r w:rsidRPr="00456E0F">
        <w:rPr>
          <w:rFonts w:cs="Times New Roman"/>
          <w:szCs w:val="24"/>
        </w:rPr>
        <w:t>Desde esta perspectiva, la gestión del riesgo se amplía, ya que no se trata únicamente de minimizar pérdidas materiales u operativas, sino también de mitigar los impactos emocionales que las crisis generan e</w:t>
      </w:r>
      <w:r w:rsidRPr="00456E0F">
        <w:rPr>
          <w:rFonts w:cs="Times New Roman"/>
          <w:szCs w:val="24"/>
        </w:rPr>
        <w:t xml:space="preserve">n los equipos humanos, </w:t>
      </w:r>
      <w:r w:rsidRPr="00456E0F">
        <w:rPr>
          <w:rFonts w:cs="Times New Roman"/>
          <w:szCs w:val="24"/>
        </w:rPr>
        <w:t>el capítulo no idealiza la inteligenc</w:t>
      </w:r>
      <w:r w:rsidR="004855FB" w:rsidRPr="00456E0F">
        <w:rPr>
          <w:rFonts w:cs="Times New Roman"/>
          <w:szCs w:val="24"/>
        </w:rPr>
        <w:t xml:space="preserve">ia emocional de manera crítica, sino que </w:t>
      </w:r>
      <w:r w:rsidRPr="00456E0F">
        <w:rPr>
          <w:rFonts w:cs="Times New Roman"/>
          <w:szCs w:val="24"/>
        </w:rPr>
        <w:t>introd</w:t>
      </w:r>
      <w:r w:rsidR="004855FB" w:rsidRPr="00456E0F">
        <w:rPr>
          <w:rFonts w:cs="Times New Roman"/>
          <w:szCs w:val="24"/>
        </w:rPr>
        <w:t>uce una advertencia importante a</w:t>
      </w:r>
      <w:r w:rsidRPr="00456E0F">
        <w:rPr>
          <w:rFonts w:cs="Times New Roman"/>
          <w:szCs w:val="24"/>
        </w:rPr>
        <w:t xml:space="preserve">l cuidado puede ser distorsionado y transformarse en una forma sutil de control. </w:t>
      </w:r>
    </w:p>
    <w:p w:rsidR="00342BE5" w:rsidRPr="00456E0F" w:rsidRDefault="00342BE5" w:rsidP="00342BE5">
      <w:pPr>
        <w:jc w:val="both"/>
        <w:rPr>
          <w:rFonts w:cs="Times New Roman"/>
          <w:szCs w:val="24"/>
        </w:rPr>
      </w:pPr>
      <w:r w:rsidRPr="00456E0F">
        <w:rPr>
          <w:rFonts w:cs="Times New Roman"/>
          <w:szCs w:val="24"/>
        </w:rPr>
        <w:lastRenderedPageBreak/>
        <w:t>Esto</w:t>
      </w:r>
      <w:r w:rsidRPr="00456E0F">
        <w:rPr>
          <w:rFonts w:cs="Times New Roman"/>
          <w:szCs w:val="24"/>
        </w:rPr>
        <w:t xml:space="preserve"> es fundamental para entender cómo contribuye a la gestión de</w:t>
      </w:r>
      <w:r w:rsidR="004855FB" w:rsidRPr="00456E0F">
        <w:rPr>
          <w:rFonts w:cs="Times New Roman"/>
          <w:szCs w:val="24"/>
        </w:rPr>
        <w:t>l riesgo, la</w:t>
      </w:r>
      <w:r w:rsidRPr="00456E0F">
        <w:rPr>
          <w:rFonts w:cs="Times New Roman"/>
          <w:szCs w:val="24"/>
        </w:rPr>
        <w:t xml:space="preserve"> inteligencia emocional se utiliza de manera mecánica, se convierte en una técnica de adaptación pasiva que puede reducir el conflicto visible, pero a su vez, incrementa riesgos ocultos como el agotamiento, la desafección o la manipulación emocional. </w:t>
      </w:r>
    </w:p>
    <w:p w:rsidR="008670C0" w:rsidRPr="00456E0F" w:rsidRDefault="00342BE5" w:rsidP="00342BE5">
      <w:pPr>
        <w:jc w:val="both"/>
        <w:rPr>
          <w:rFonts w:cs="Times New Roman"/>
          <w:szCs w:val="24"/>
        </w:rPr>
      </w:pPr>
      <w:r w:rsidRPr="00456E0F">
        <w:rPr>
          <w:rFonts w:cs="Times New Roman"/>
          <w:szCs w:val="24"/>
        </w:rPr>
        <w:t xml:space="preserve">El texto concluye que liderar en tiempos inciertos implica encontrar un delicado equilibrio; no se trata de renunciar a la estructura ni a la dirección, pero tampoco de sacrificar la </w:t>
      </w:r>
      <w:r w:rsidR="004855FB" w:rsidRPr="00456E0F">
        <w:rPr>
          <w:rFonts w:cs="Times New Roman"/>
          <w:szCs w:val="24"/>
        </w:rPr>
        <w:t>humanidad en nombre del control, l</w:t>
      </w:r>
      <w:r w:rsidRPr="00456E0F">
        <w:rPr>
          <w:rFonts w:cs="Times New Roman"/>
          <w:szCs w:val="24"/>
        </w:rPr>
        <w:t xml:space="preserve">a gestión del riesgo se transforma en una práctica que combina razón y emoción, estrategia y cuidado, técnica y </w:t>
      </w:r>
      <w:r w:rsidRPr="00456E0F">
        <w:rPr>
          <w:rFonts w:cs="Times New Roman"/>
          <w:szCs w:val="24"/>
        </w:rPr>
        <w:t>ética, en</w:t>
      </w:r>
      <w:r w:rsidR="00E76C88" w:rsidRPr="00456E0F">
        <w:rPr>
          <w:rFonts w:cs="Times New Roman"/>
          <w:szCs w:val="24"/>
        </w:rPr>
        <w:t xml:space="preserve"> resumen, la tensión entre control y cuidado recorre todo el capítulo y nos ayuda a entender que, en situaciones de incertidumbre extrema, el riesgo más grave no es la falta de control, sino la pérdida de nuestra humanidad. </w:t>
      </w:r>
      <w:bookmarkStart w:id="0" w:name="_GoBack"/>
      <w:bookmarkEnd w:id="0"/>
    </w:p>
    <w:sectPr w:rsidR="008670C0" w:rsidRPr="00456E0F" w:rsidSect="00EE7DB8">
      <w:headerReference w:type="default" r:id="rId9"/>
      <w:pgSz w:w="12240" w:h="15840" w:code="1"/>
      <w:pgMar w:top="1418" w:right="1418" w:bottom="1418" w:left="1418" w:header="709"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134B" w:rsidRDefault="002B134B" w:rsidP="00EE7DB8">
      <w:pPr>
        <w:spacing w:line="240" w:lineRule="auto"/>
      </w:pPr>
      <w:r>
        <w:separator/>
      </w:r>
    </w:p>
  </w:endnote>
  <w:endnote w:type="continuationSeparator" w:id="0">
    <w:p w:rsidR="002B134B" w:rsidRDefault="002B134B" w:rsidP="00EE7D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134B" w:rsidRDefault="002B134B" w:rsidP="00EE7DB8">
      <w:pPr>
        <w:spacing w:line="240" w:lineRule="auto"/>
      </w:pPr>
      <w:r>
        <w:separator/>
      </w:r>
    </w:p>
  </w:footnote>
  <w:footnote w:type="continuationSeparator" w:id="0">
    <w:p w:rsidR="002B134B" w:rsidRDefault="002B134B" w:rsidP="00EE7D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2061258"/>
      <w:docPartObj>
        <w:docPartGallery w:val="Page Numbers (Top of Page)"/>
        <w:docPartUnique/>
      </w:docPartObj>
    </w:sdtPr>
    <w:sdtContent>
      <w:p w:rsidR="00EE7DB8" w:rsidRDefault="00EE7DB8">
        <w:pPr>
          <w:pStyle w:val="Encabezado"/>
          <w:jc w:val="right"/>
        </w:pPr>
        <w:r>
          <w:fldChar w:fldCharType="begin"/>
        </w:r>
        <w:r>
          <w:instrText>PAGE   \* MERGEFORMAT</w:instrText>
        </w:r>
        <w:r>
          <w:fldChar w:fldCharType="separate"/>
        </w:r>
        <w:r w:rsidR="00456E0F" w:rsidRPr="00456E0F">
          <w:rPr>
            <w:noProof/>
            <w:lang w:val="es-ES"/>
          </w:rPr>
          <w:t>3</w:t>
        </w:r>
        <w:r>
          <w:fldChar w:fldCharType="end"/>
        </w:r>
      </w:p>
    </w:sdtContent>
  </w:sdt>
  <w:p w:rsidR="00EE7DB8" w:rsidRDefault="00EE7DB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0C0"/>
    <w:rsid w:val="002B134B"/>
    <w:rsid w:val="00342BE5"/>
    <w:rsid w:val="00456E0F"/>
    <w:rsid w:val="004855FB"/>
    <w:rsid w:val="008670C0"/>
    <w:rsid w:val="00D8140D"/>
    <w:rsid w:val="00E76C88"/>
    <w:rsid w:val="00EE7DB8"/>
    <w:rsid w:val="00FB0F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248C"/>
  <w15:chartTrackingRefBased/>
  <w15:docId w15:val="{1299F03E-1C89-4D4C-AD26-41A50066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DB8"/>
    <w:pPr>
      <w:spacing w:after="0" w:line="480" w:lineRule="auto"/>
      <w:ind w:firstLine="284"/>
    </w:pPr>
    <w:rPr>
      <w:rFonts w:ascii="Times New Roman" w:hAnsi="Times New Roman"/>
      <w:sz w:val="24"/>
    </w:rPr>
  </w:style>
  <w:style w:type="paragraph" w:styleId="Ttulo1">
    <w:name w:val="heading 1"/>
    <w:basedOn w:val="Normal"/>
    <w:next w:val="Normal"/>
    <w:link w:val="Ttulo1Car"/>
    <w:uiPriority w:val="9"/>
    <w:qFormat/>
    <w:rsid w:val="008670C0"/>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Ttulo2">
    <w:name w:val="heading 2"/>
    <w:basedOn w:val="Normal"/>
    <w:next w:val="Normal"/>
    <w:link w:val="Ttulo2Car"/>
    <w:uiPriority w:val="9"/>
    <w:unhideWhenUsed/>
    <w:qFormat/>
    <w:rsid w:val="004855F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4855FB"/>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70C0"/>
    <w:rPr>
      <w:rFonts w:asciiTheme="majorHAnsi" w:eastAsiaTheme="majorEastAsia" w:hAnsiTheme="majorHAnsi" w:cstheme="majorBidi"/>
      <w:b/>
      <w:bCs/>
      <w:color w:val="2E74B5" w:themeColor="accent1" w:themeShade="BF"/>
      <w:sz w:val="28"/>
      <w:szCs w:val="28"/>
      <w:lang w:val="en-US"/>
    </w:rPr>
  </w:style>
  <w:style w:type="paragraph" w:styleId="Sinespaciado">
    <w:name w:val="No Spacing"/>
    <w:link w:val="SinespaciadoCar"/>
    <w:uiPriority w:val="1"/>
    <w:qFormat/>
    <w:rsid w:val="008670C0"/>
    <w:pPr>
      <w:spacing w:after="0" w:line="240" w:lineRule="auto"/>
    </w:pPr>
  </w:style>
  <w:style w:type="character" w:styleId="Hipervnculo">
    <w:name w:val="Hyperlink"/>
    <w:basedOn w:val="Fuentedeprrafopredeter"/>
    <w:uiPriority w:val="99"/>
    <w:semiHidden/>
    <w:unhideWhenUsed/>
    <w:rsid w:val="004855FB"/>
    <w:rPr>
      <w:color w:val="0000FF"/>
      <w:u w:val="single"/>
    </w:rPr>
  </w:style>
  <w:style w:type="character" w:customStyle="1" w:styleId="Ttulo2Car">
    <w:name w:val="Título 2 Car"/>
    <w:basedOn w:val="Fuentedeprrafopredeter"/>
    <w:link w:val="Ttulo2"/>
    <w:uiPriority w:val="9"/>
    <w:rsid w:val="004855F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4855FB"/>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EE7DB8"/>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E7DB8"/>
  </w:style>
  <w:style w:type="paragraph" w:styleId="Piedepgina">
    <w:name w:val="footer"/>
    <w:basedOn w:val="Normal"/>
    <w:link w:val="PiedepginaCar"/>
    <w:uiPriority w:val="99"/>
    <w:unhideWhenUsed/>
    <w:rsid w:val="00EE7DB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E7DB8"/>
  </w:style>
  <w:style w:type="character" w:customStyle="1" w:styleId="SinespaciadoCar">
    <w:name w:val="Sin espaciado Car"/>
    <w:basedOn w:val="Fuentedeprrafopredeter"/>
    <w:link w:val="Sinespaciado"/>
    <w:uiPriority w:val="1"/>
    <w:rsid w:val="00EE7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ampusvirtual.espe.edu.ec/mod/assign/view.php?id=15968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BE7"/>
    <w:rsid w:val="00667BE7"/>
    <w:rsid w:val="00EC35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1B36C2D85314ED88B7AE9B4159479E2">
    <w:name w:val="E1B36C2D85314ED88B7AE9B4159479E2"/>
    <w:rsid w:val="00667BE7"/>
  </w:style>
  <w:style w:type="paragraph" w:customStyle="1" w:styleId="BFF32D27469D422586D5861A2F975787">
    <w:name w:val="BFF32D27469D422586D5861A2F975787"/>
    <w:rsid w:val="00667BE7"/>
  </w:style>
  <w:style w:type="paragraph" w:customStyle="1" w:styleId="57D4C01324AC4D6F8A7F8BF0EB64D568">
    <w:name w:val="57D4C01324AC4D6F8A7F8BF0EB64D568"/>
    <w:rsid w:val="00667BE7"/>
  </w:style>
  <w:style w:type="paragraph" w:customStyle="1" w:styleId="8C19C57B0108491B8F66942D8D02C717">
    <w:name w:val="8C19C57B0108491B8F66942D8D02C717"/>
    <w:rsid w:val="00667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7B578-7B13-4EB9-966E-B10BC2F2C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489</Words>
  <Characters>2692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SEBASTIAN PROA�O PANCHI</dc:creator>
  <cp:keywords/>
  <dc:description/>
  <cp:lastModifiedBy>ISAAC SEBASTIAN PROA�O PANCHI</cp:lastModifiedBy>
  <cp:revision>2</cp:revision>
  <dcterms:created xsi:type="dcterms:W3CDTF">2026-01-14T23:55:00Z</dcterms:created>
  <dcterms:modified xsi:type="dcterms:W3CDTF">2026-01-14T23:55:00Z</dcterms:modified>
</cp:coreProperties>
</file>