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63D" w:rsidRPr="002E74F4" w:rsidRDefault="00DD7078" w:rsidP="002E74F4">
      <w:pPr>
        <w:jc w:val="center"/>
        <w:rPr>
          <w:rFonts w:ascii="Times New Roman" w:hAnsi="Times New Roman" w:cs="Times New Roman"/>
          <w:b/>
          <w:spacing w:val="-2"/>
          <w:sz w:val="24"/>
          <w:szCs w:val="24"/>
        </w:rPr>
      </w:pPr>
      <w:r w:rsidRPr="002E74F4">
        <w:rPr>
          <w:rFonts w:ascii="Times New Roman" w:hAnsi="Times New Roman" w:cs="Times New Roman"/>
          <w:b/>
          <w:sz w:val="24"/>
          <w:szCs w:val="24"/>
        </w:rPr>
        <w:t xml:space="preserve">INFORME DE SEGURIDAD – </w:t>
      </w:r>
      <w:r w:rsidRPr="002E74F4">
        <w:rPr>
          <w:rFonts w:ascii="Times New Roman" w:hAnsi="Times New Roman" w:cs="Times New Roman"/>
          <w:b/>
          <w:spacing w:val="-2"/>
          <w:sz w:val="24"/>
          <w:szCs w:val="24"/>
        </w:rPr>
        <w:t>SEGPRO</w:t>
      </w:r>
    </w:p>
    <w:p w:rsidR="00B628FA" w:rsidRPr="002E74F4" w:rsidRDefault="00B628FA" w:rsidP="002E74F4">
      <w:pPr>
        <w:jc w:val="both"/>
        <w:rPr>
          <w:rFonts w:ascii="Times New Roman" w:hAnsi="Times New Roman" w:cs="Times New Roman"/>
          <w:sz w:val="24"/>
          <w:szCs w:val="24"/>
        </w:rPr>
      </w:pPr>
    </w:p>
    <w:p w:rsidR="0034563D" w:rsidRPr="002E74F4" w:rsidRDefault="0034563D" w:rsidP="002E74F4">
      <w:pPr>
        <w:jc w:val="both"/>
        <w:rPr>
          <w:rFonts w:ascii="Times New Roman" w:hAnsi="Times New Roman" w:cs="Times New Roman"/>
          <w:sz w:val="24"/>
          <w:szCs w:val="24"/>
        </w:rPr>
      </w:pPr>
    </w:p>
    <w:p w:rsidR="00B628FA" w:rsidRDefault="00DD7078" w:rsidP="002E74F4">
      <w:pPr>
        <w:jc w:val="both"/>
        <w:rPr>
          <w:rFonts w:ascii="Times New Roman" w:hAnsi="Times New Roman" w:cs="Times New Roman"/>
          <w:b/>
          <w:spacing w:val="-4"/>
          <w:sz w:val="24"/>
          <w:szCs w:val="24"/>
        </w:rPr>
      </w:pPr>
      <w:r w:rsidRPr="002E74F4">
        <w:rPr>
          <w:rFonts w:ascii="Times New Roman" w:hAnsi="Times New Roman" w:cs="Times New Roman"/>
          <w:b/>
          <w:sz w:val="24"/>
          <w:szCs w:val="24"/>
        </w:rPr>
        <w:t xml:space="preserve">2.2 Análisis de Riesgo </w:t>
      </w:r>
      <w:r w:rsidRPr="002E74F4">
        <w:rPr>
          <w:rFonts w:ascii="Times New Roman" w:hAnsi="Times New Roman" w:cs="Times New Roman"/>
          <w:b/>
          <w:spacing w:val="-4"/>
          <w:sz w:val="24"/>
          <w:szCs w:val="24"/>
        </w:rPr>
        <w:t>(RA)</w:t>
      </w:r>
    </w:p>
    <w:p w:rsidR="002E74F4" w:rsidRPr="002E74F4" w:rsidRDefault="002E74F4" w:rsidP="002E74F4">
      <w:pPr>
        <w:jc w:val="both"/>
        <w:rPr>
          <w:rFonts w:ascii="Times New Roman" w:hAnsi="Times New Roman" w:cs="Times New Roman"/>
          <w:b/>
          <w:spacing w:val="-4"/>
          <w:sz w:val="24"/>
          <w:szCs w:val="24"/>
        </w:rPr>
      </w:pPr>
      <w:r>
        <w:rPr>
          <w:rFonts w:ascii="Times New Roman" w:hAnsi="Times New Roman" w:cs="Times New Roman"/>
          <w:b/>
          <w:spacing w:val="-4"/>
          <w:sz w:val="24"/>
          <w:szCs w:val="24"/>
        </w:rPr>
        <w:t xml:space="preserve"> </w:t>
      </w:r>
    </w:p>
    <w:p w:rsidR="00B628FA" w:rsidRPr="002E74F4" w:rsidRDefault="00B628FA" w:rsidP="002E74F4">
      <w:pPr>
        <w:jc w:val="both"/>
        <w:rPr>
          <w:rFonts w:ascii="Times New Roman" w:hAnsi="Times New Roman" w:cs="Times New Roman"/>
          <w:sz w:val="24"/>
          <w:szCs w:val="24"/>
        </w:rPr>
      </w:pPr>
      <w:r w:rsidRPr="002E74F4">
        <w:rPr>
          <w:rFonts w:ascii="Times New Roman" w:hAnsi="Times New Roman" w:cs="Times New Roman"/>
          <w:sz w:val="24"/>
          <w:szCs w:val="24"/>
        </w:rPr>
        <w:t>El Análisis de Riesgo (RA) es uno de los pilares clave en la gestión de la seguridad de la información y la continuidad operativa de cualquier organización. Desde un enfoque teórico, el riesgo se entiende como la posibilidad de que una amenaza aproveche una vulnerabilidad y cause un impacto negativo en los activos de la empresa. En el caso de SEGPRO, el análisis de riesgos nos ayuda a prever eventos que podrían poner en peligro la confidencialidad, integridad y disponibilidad de la información.</w:t>
      </w:r>
    </w:p>
    <w:p w:rsidR="00B628FA" w:rsidRPr="002E74F4" w:rsidRDefault="00B628FA" w:rsidP="002E74F4">
      <w:pPr>
        <w:jc w:val="both"/>
        <w:rPr>
          <w:rFonts w:ascii="Times New Roman" w:hAnsi="Times New Roman" w:cs="Times New Roman"/>
          <w:sz w:val="24"/>
          <w:szCs w:val="24"/>
        </w:rPr>
      </w:pPr>
    </w:p>
    <w:p w:rsidR="0034563D" w:rsidRPr="002E74F4" w:rsidRDefault="00B628FA" w:rsidP="002E74F4">
      <w:pPr>
        <w:jc w:val="both"/>
        <w:rPr>
          <w:rFonts w:ascii="Times New Roman" w:hAnsi="Times New Roman" w:cs="Times New Roman"/>
          <w:sz w:val="24"/>
          <w:szCs w:val="24"/>
        </w:rPr>
      </w:pPr>
      <w:r w:rsidRPr="002E74F4">
        <w:rPr>
          <w:rFonts w:ascii="Times New Roman" w:hAnsi="Times New Roman" w:cs="Times New Roman"/>
          <w:sz w:val="24"/>
          <w:szCs w:val="24"/>
        </w:rPr>
        <w:t>El objetivo principal del Análisis de Riesgo es identificar, evaluar y priorizar los riesgos que podrían amenazar los activos críticos de SEGPRO. Este proceso es fundamental para tomar decisiones estratégicas que permitan implementar controles preventivos, correctivos y detectivos, lo que a su vez ayuda a disminuir la probabilidad de incidentes de seguridad.</w:t>
      </w:r>
    </w:p>
    <w:p w:rsidR="0034563D" w:rsidRPr="002E74F4" w:rsidRDefault="0034563D" w:rsidP="002E74F4">
      <w:pPr>
        <w:jc w:val="both"/>
        <w:rPr>
          <w:rFonts w:ascii="Times New Roman" w:hAnsi="Times New Roman" w:cs="Times New Roman"/>
          <w:sz w:val="24"/>
          <w:szCs w:val="24"/>
        </w:rPr>
      </w:pPr>
    </w:p>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Identificación de activos, amenazas y </w:t>
      </w:r>
      <w:r w:rsidRPr="002E74F4">
        <w:rPr>
          <w:rFonts w:ascii="Times New Roman" w:hAnsi="Times New Roman" w:cs="Times New Roman"/>
          <w:spacing w:val="-2"/>
          <w:sz w:val="24"/>
          <w:szCs w:val="24"/>
        </w:rPr>
        <w:t>vulnerabilidades</w:t>
      </w:r>
    </w:p>
    <w:p w:rsidR="0034563D" w:rsidRPr="002E74F4" w:rsidRDefault="0034563D" w:rsidP="002E74F4">
      <w:pPr>
        <w:jc w:val="both"/>
        <w:rPr>
          <w:rFonts w:ascii="Times New Roman" w:hAnsi="Times New Roman" w:cs="Times New Roman"/>
          <w:sz w:val="24"/>
          <w:szCs w:val="24"/>
        </w:rPr>
      </w:pPr>
    </w:p>
    <w:tbl>
      <w:tblPr>
        <w:tblStyle w:val="TableNormal"/>
        <w:tblW w:w="0" w:type="auto"/>
        <w:tblInd w:w="6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2"/>
        <w:gridCol w:w="2308"/>
        <w:gridCol w:w="3000"/>
        <w:gridCol w:w="1600"/>
      </w:tblGrid>
      <w:tr w:rsidR="0034563D" w:rsidRPr="002E74F4" w:rsidTr="00B628FA">
        <w:trPr>
          <w:trHeight w:val="340"/>
        </w:trPr>
        <w:tc>
          <w:tcPr>
            <w:tcW w:w="2092" w:type="dxa"/>
            <w:shd w:val="clear" w:color="auto" w:fill="D3D3D3"/>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Activo</w:t>
            </w:r>
          </w:p>
        </w:tc>
        <w:tc>
          <w:tcPr>
            <w:tcW w:w="2308" w:type="dxa"/>
            <w:shd w:val="clear" w:color="auto" w:fill="D3D3D3"/>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Amenaza</w:t>
            </w:r>
          </w:p>
        </w:tc>
        <w:tc>
          <w:tcPr>
            <w:tcW w:w="3000" w:type="dxa"/>
            <w:shd w:val="clear" w:color="auto" w:fill="D3D3D3"/>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Vulnerabilidad</w:t>
            </w:r>
          </w:p>
        </w:tc>
        <w:tc>
          <w:tcPr>
            <w:tcW w:w="1600" w:type="dxa"/>
            <w:shd w:val="clear" w:color="auto" w:fill="D3D3D3"/>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Nivel de </w:t>
            </w:r>
            <w:r w:rsidRPr="002E74F4">
              <w:rPr>
                <w:rFonts w:ascii="Times New Roman" w:hAnsi="Times New Roman" w:cs="Times New Roman"/>
                <w:spacing w:val="-2"/>
                <w:sz w:val="24"/>
                <w:szCs w:val="24"/>
              </w:rPr>
              <w:t>Riesgo</w:t>
            </w:r>
          </w:p>
        </w:tc>
      </w:tr>
      <w:tr w:rsidR="0034563D" w:rsidRPr="002E74F4" w:rsidTr="00B628FA">
        <w:trPr>
          <w:trHeight w:val="340"/>
        </w:trPr>
        <w:tc>
          <w:tcPr>
            <w:tcW w:w="2092"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Servidor de </w:t>
            </w:r>
            <w:r w:rsidRPr="002E74F4">
              <w:rPr>
                <w:rFonts w:ascii="Times New Roman" w:hAnsi="Times New Roman" w:cs="Times New Roman"/>
                <w:spacing w:val="-2"/>
                <w:sz w:val="24"/>
                <w:szCs w:val="24"/>
              </w:rPr>
              <w:t>datos</w:t>
            </w:r>
          </w:p>
        </w:tc>
        <w:tc>
          <w:tcPr>
            <w:tcW w:w="2308"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Ataque </w:t>
            </w:r>
            <w:r w:rsidRPr="002E74F4">
              <w:rPr>
                <w:rFonts w:ascii="Times New Roman" w:hAnsi="Times New Roman" w:cs="Times New Roman"/>
                <w:spacing w:val="-2"/>
                <w:sz w:val="24"/>
                <w:szCs w:val="24"/>
              </w:rPr>
              <w:t>cibernético</w:t>
            </w:r>
          </w:p>
        </w:tc>
        <w:tc>
          <w:tcPr>
            <w:tcW w:w="30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Falta de </w:t>
            </w:r>
            <w:r w:rsidRPr="002E74F4">
              <w:rPr>
                <w:rFonts w:ascii="Times New Roman" w:hAnsi="Times New Roman" w:cs="Times New Roman"/>
                <w:spacing w:val="-2"/>
                <w:sz w:val="24"/>
                <w:szCs w:val="24"/>
              </w:rPr>
              <w:t>parches</w:t>
            </w:r>
          </w:p>
        </w:tc>
        <w:tc>
          <w:tcPr>
            <w:tcW w:w="16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4"/>
                <w:sz w:val="24"/>
                <w:szCs w:val="24"/>
              </w:rPr>
              <w:t>Alto</w:t>
            </w:r>
          </w:p>
        </w:tc>
      </w:tr>
      <w:tr w:rsidR="0034563D" w:rsidRPr="002E74F4" w:rsidTr="00B628FA">
        <w:trPr>
          <w:trHeight w:val="339"/>
        </w:trPr>
        <w:tc>
          <w:tcPr>
            <w:tcW w:w="2092"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Red </w:t>
            </w:r>
            <w:r w:rsidRPr="002E74F4">
              <w:rPr>
                <w:rFonts w:ascii="Times New Roman" w:hAnsi="Times New Roman" w:cs="Times New Roman"/>
                <w:spacing w:val="-2"/>
                <w:sz w:val="24"/>
                <w:szCs w:val="24"/>
              </w:rPr>
              <w:t>corporativa</w:t>
            </w:r>
          </w:p>
        </w:tc>
        <w:tc>
          <w:tcPr>
            <w:tcW w:w="2308"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Acceso no </w:t>
            </w:r>
            <w:r w:rsidRPr="002E74F4">
              <w:rPr>
                <w:rFonts w:ascii="Times New Roman" w:hAnsi="Times New Roman" w:cs="Times New Roman"/>
                <w:spacing w:val="-2"/>
                <w:sz w:val="24"/>
                <w:szCs w:val="24"/>
              </w:rPr>
              <w:t>autorizado</w:t>
            </w:r>
          </w:p>
        </w:tc>
        <w:tc>
          <w:tcPr>
            <w:tcW w:w="30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Contraseñas </w:t>
            </w:r>
            <w:r w:rsidRPr="002E74F4">
              <w:rPr>
                <w:rFonts w:ascii="Times New Roman" w:hAnsi="Times New Roman" w:cs="Times New Roman"/>
                <w:spacing w:val="-2"/>
                <w:sz w:val="24"/>
                <w:szCs w:val="24"/>
              </w:rPr>
              <w:t>débiles</w:t>
            </w:r>
          </w:p>
        </w:tc>
        <w:tc>
          <w:tcPr>
            <w:tcW w:w="16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4"/>
                <w:sz w:val="24"/>
                <w:szCs w:val="24"/>
              </w:rPr>
              <w:t>Alto</w:t>
            </w:r>
          </w:p>
        </w:tc>
      </w:tr>
      <w:tr w:rsidR="0034563D" w:rsidRPr="002E74F4" w:rsidTr="00B628FA">
        <w:trPr>
          <w:trHeight w:val="340"/>
        </w:trPr>
        <w:tc>
          <w:tcPr>
            <w:tcW w:w="2092" w:type="dxa"/>
          </w:tcPr>
          <w:p w:rsidR="00B628FA" w:rsidRPr="002E74F4" w:rsidRDefault="00B628FA" w:rsidP="002E74F4">
            <w:pPr>
              <w:jc w:val="both"/>
              <w:rPr>
                <w:rFonts w:ascii="Times New Roman" w:hAnsi="Times New Roman" w:cs="Times New Roman"/>
                <w:sz w:val="24"/>
                <w:szCs w:val="24"/>
              </w:rPr>
            </w:pPr>
            <w:r w:rsidRPr="002E74F4">
              <w:rPr>
                <w:rFonts w:ascii="Times New Roman" w:hAnsi="Times New Roman" w:cs="Times New Roman"/>
                <w:sz w:val="24"/>
                <w:szCs w:val="24"/>
              </w:rPr>
              <w:t>Información</w:t>
            </w:r>
          </w:p>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de </w:t>
            </w:r>
            <w:r w:rsidRPr="002E74F4">
              <w:rPr>
                <w:rFonts w:ascii="Times New Roman" w:hAnsi="Times New Roman" w:cs="Times New Roman"/>
                <w:spacing w:val="-2"/>
                <w:sz w:val="24"/>
                <w:szCs w:val="24"/>
              </w:rPr>
              <w:t>clientes</w:t>
            </w:r>
          </w:p>
        </w:tc>
        <w:tc>
          <w:tcPr>
            <w:tcW w:w="2308"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Fuga de </w:t>
            </w:r>
            <w:r w:rsidRPr="002E74F4">
              <w:rPr>
                <w:rFonts w:ascii="Times New Roman" w:hAnsi="Times New Roman" w:cs="Times New Roman"/>
                <w:spacing w:val="-2"/>
                <w:sz w:val="24"/>
                <w:szCs w:val="24"/>
              </w:rPr>
              <w:t>información</w:t>
            </w:r>
          </w:p>
        </w:tc>
        <w:tc>
          <w:tcPr>
            <w:tcW w:w="30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Falta de </w:t>
            </w:r>
            <w:r w:rsidRPr="002E74F4">
              <w:rPr>
                <w:rFonts w:ascii="Times New Roman" w:hAnsi="Times New Roman" w:cs="Times New Roman"/>
                <w:spacing w:val="-2"/>
                <w:sz w:val="24"/>
                <w:szCs w:val="24"/>
              </w:rPr>
              <w:t>cifrado</w:t>
            </w:r>
          </w:p>
        </w:tc>
        <w:tc>
          <w:tcPr>
            <w:tcW w:w="16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4"/>
                <w:sz w:val="24"/>
                <w:szCs w:val="24"/>
              </w:rPr>
              <w:t>Alto</w:t>
            </w:r>
          </w:p>
        </w:tc>
      </w:tr>
      <w:tr w:rsidR="0034563D" w:rsidRPr="002E74F4" w:rsidTr="00B628FA">
        <w:trPr>
          <w:trHeight w:val="340"/>
        </w:trPr>
        <w:tc>
          <w:tcPr>
            <w:tcW w:w="2092"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Equipos de </w:t>
            </w:r>
            <w:r w:rsidRPr="002E74F4">
              <w:rPr>
                <w:rFonts w:ascii="Times New Roman" w:hAnsi="Times New Roman" w:cs="Times New Roman"/>
                <w:spacing w:val="-2"/>
                <w:sz w:val="24"/>
                <w:szCs w:val="24"/>
              </w:rPr>
              <w:t>usuarios</w:t>
            </w:r>
          </w:p>
        </w:tc>
        <w:tc>
          <w:tcPr>
            <w:tcW w:w="2308"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Malware</w:t>
            </w:r>
          </w:p>
        </w:tc>
        <w:tc>
          <w:tcPr>
            <w:tcW w:w="30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Software no </w:t>
            </w:r>
            <w:r w:rsidRPr="002E74F4">
              <w:rPr>
                <w:rFonts w:ascii="Times New Roman" w:hAnsi="Times New Roman" w:cs="Times New Roman"/>
                <w:spacing w:val="-2"/>
                <w:sz w:val="24"/>
                <w:szCs w:val="24"/>
              </w:rPr>
              <w:t>autorizado</w:t>
            </w:r>
          </w:p>
        </w:tc>
        <w:tc>
          <w:tcPr>
            <w:tcW w:w="16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Medio</w:t>
            </w:r>
          </w:p>
        </w:tc>
      </w:tr>
      <w:tr w:rsidR="0034563D" w:rsidRPr="002E74F4" w:rsidTr="00B628FA">
        <w:trPr>
          <w:trHeight w:val="340"/>
        </w:trPr>
        <w:tc>
          <w:tcPr>
            <w:tcW w:w="2092"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Personal</w:t>
            </w:r>
          </w:p>
        </w:tc>
        <w:tc>
          <w:tcPr>
            <w:tcW w:w="2308"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Error </w:t>
            </w:r>
            <w:r w:rsidRPr="002E74F4">
              <w:rPr>
                <w:rFonts w:ascii="Times New Roman" w:hAnsi="Times New Roman" w:cs="Times New Roman"/>
                <w:spacing w:val="-2"/>
                <w:sz w:val="24"/>
                <w:szCs w:val="24"/>
              </w:rPr>
              <w:t>humano</w:t>
            </w:r>
          </w:p>
        </w:tc>
        <w:tc>
          <w:tcPr>
            <w:tcW w:w="30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Falta de </w:t>
            </w:r>
            <w:r w:rsidRPr="002E74F4">
              <w:rPr>
                <w:rFonts w:ascii="Times New Roman" w:hAnsi="Times New Roman" w:cs="Times New Roman"/>
                <w:spacing w:val="-2"/>
                <w:sz w:val="24"/>
                <w:szCs w:val="24"/>
              </w:rPr>
              <w:t>capacitación</w:t>
            </w:r>
          </w:p>
        </w:tc>
        <w:tc>
          <w:tcPr>
            <w:tcW w:w="16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Medio</w:t>
            </w:r>
          </w:p>
        </w:tc>
      </w:tr>
    </w:tbl>
    <w:p w:rsidR="00B628FA" w:rsidRPr="002E74F4" w:rsidRDefault="00B628FA" w:rsidP="002E74F4">
      <w:pPr>
        <w:jc w:val="both"/>
        <w:rPr>
          <w:rFonts w:ascii="Times New Roman" w:hAnsi="Times New Roman" w:cs="Times New Roman"/>
          <w:sz w:val="24"/>
          <w:szCs w:val="24"/>
        </w:rPr>
      </w:pPr>
    </w:p>
    <w:p w:rsidR="002F129A" w:rsidRPr="002E74F4" w:rsidRDefault="00B628FA" w:rsidP="002E74F4">
      <w:pPr>
        <w:jc w:val="both"/>
        <w:rPr>
          <w:rFonts w:ascii="Times New Roman" w:hAnsi="Times New Roman" w:cs="Times New Roman"/>
          <w:sz w:val="24"/>
          <w:szCs w:val="24"/>
        </w:rPr>
      </w:pPr>
      <w:r w:rsidRPr="002E74F4">
        <w:rPr>
          <w:rFonts w:ascii="Times New Roman" w:hAnsi="Times New Roman" w:cs="Times New Roman"/>
          <w:sz w:val="24"/>
          <w:szCs w:val="24"/>
        </w:rPr>
        <w:t>Los riesgos que hemos identificado como altos son una amenaza seria para el funcionamiento de SEGPRO y necesitan ser abordados de inmediato. El manejo de estos riesgos puede incluir la implementación de controles técnicos, como firewalls y cifrado, así como controles administrativos, como políticas de seguridad, y controles organizacionales, que abarcan la capacitación continua del personal.</w:t>
      </w:r>
    </w:p>
    <w:p w:rsidR="002F129A" w:rsidRPr="002E74F4" w:rsidRDefault="002F129A" w:rsidP="002E74F4">
      <w:pPr>
        <w:jc w:val="both"/>
        <w:rPr>
          <w:rFonts w:ascii="Times New Roman" w:hAnsi="Times New Roman" w:cs="Times New Roman"/>
          <w:sz w:val="24"/>
          <w:szCs w:val="24"/>
        </w:rPr>
      </w:pPr>
    </w:p>
    <w:p w:rsidR="002F129A" w:rsidRPr="002E74F4" w:rsidRDefault="002F129A" w:rsidP="002E74F4">
      <w:pPr>
        <w:jc w:val="both"/>
        <w:rPr>
          <w:rFonts w:ascii="Times New Roman" w:hAnsi="Times New Roman" w:cs="Times New Roman"/>
          <w:b/>
          <w:sz w:val="24"/>
          <w:szCs w:val="24"/>
        </w:rPr>
      </w:pPr>
      <w:r w:rsidRPr="002E74F4">
        <w:rPr>
          <w:rFonts w:ascii="Times New Roman" w:hAnsi="Times New Roman" w:cs="Times New Roman"/>
          <w:b/>
          <w:sz w:val="24"/>
          <w:szCs w:val="24"/>
        </w:rPr>
        <w:t>2.2.1. Riesgos Tecnológicos</w:t>
      </w:r>
    </w:p>
    <w:p w:rsidR="002E74F4" w:rsidRPr="002E74F4" w:rsidRDefault="002E74F4" w:rsidP="002E74F4">
      <w:pPr>
        <w:jc w:val="both"/>
        <w:rPr>
          <w:rFonts w:ascii="Times New Roman" w:hAnsi="Times New Roman" w:cs="Times New Roman"/>
          <w:sz w:val="24"/>
          <w:szCs w:val="24"/>
        </w:rPr>
      </w:pPr>
      <w:r w:rsidRPr="002E74F4">
        <w:rPr>
          <w:rFonts w:ascii="Times New Roman" w:hAnsi="Times New Roman" w:cs="Times New Roman"/>
          <w:sz w:val="24"/>
          <w:szCs w:val="24"/>
        </w:rPr>
        <w:t>Los riesgos tecnológicos en SEGPRO están vinculados a problemas con el hardware, el software y los sistemas de información. Algunos de los riesgos más destacados incluyen ataques cibernéticos, la obsolescencia de la tecnología, fallos en los servidores y la falta de actualizaciones de seguridad. Estos problemas pueden impactar de manera directa la disponibilidad y la integridad de la información, provocando interrupciones en las operaciones y la pérdida de datos críticos.</w:t>
      </w:r>
    </w:p>
    <w:p w:rsidR="002E74F4" w:rsidRPr="002E74F4" w:rsidRDefault="002E74F4" w:rsidP="002E74F4">
      <w:pPr>
        <w:jc w:val="both"/>
        <w:rPr>
          <w:rFonts w:ascii="Times New Roman" w:hAnsi="Times New Roman" w:cs="Times New Roman"/>
          <w:sz w:val="24"/>
          <w:szCs w:val="24"/>
        </w:rPr>
      </w:pPr>
    </w:p>
    <w:p w:rsidR="002E74F4" w:rsidRPr="002E74F4" w:rsidRDefault="002F129A" w:rsidP="002E74F4">
      <w:pPr>
        <w:jc w:val="both"/>
        <w:rPr>
          <w:rFonts w:ascii="Times New Roman" w:hAnsi="Times New Roman" w:cs="Times New Roman"/>
          <w:b/>
          <w:sz w:val="24"/>
          <w:szCs w:val="24"/>
        </w:rPr>
      </w:pPr>
      <w:r w:rsidRPr="002E74F4">
        <w:rPr>
          <w:rFonts w:ascii="Times New Roman" w:hAnsi="Times New Roman" w:cs="Times New Roman"/>
          <w:b/>
          <w:sz w:val="24"/>
          <w:szCs w:val="24"/>
        </w:rPr>
        <w:t>2.2.2. Riesgos Naturales</w:t>
      </w:r>
    </w:p>
    <w:p w:rsidR="002E74F4" w:rsidRPr="002E74F4" w:rsidRDefault="002E74F4" w:rsidP="002E74F4">
      <w:pPr>
        <w:jc w:val="both"/>
        <w:rPr>
          <w:rFonts w:ascii="Times New Roman" w:hAnsi="Times New Roman" w:cs="Times New Roman"/>
          <w:sz w:val="24"/>
          <w:szCs w:val="24"/>
        </w:rPr>
      </w:pPr>
      <w:r w:rsidRPr="002E74F4">
        <w:rPr>
          <w:rFonts w:ascii="Times New Roman" w:hAnsi="Times New Roman" w:cs="Times New Roman"/>
          <w:sz w:val="24"/>
          <w:szCs w:val="24"/>
        </w:rPr>
        <w:t>Los riesgos naturales son aquellos eventos que ocurren fuera del control de la organización, como terremotos, inundaciones, incendios o cortes prolongados de energía eléctrica. En SEGPRO, este tipo de riesgos puede causar daños a la infraestructura física y tecnológica, lo que afectaría la continuidad de los servicios y podría resultar en pérdidas económicas significativas si no se implementan planes de contingencia adecuados.</w:t>
      </w:r>
    </w:p>
    <w:p w:rsidR="002E74F4" w:rsidRPr="002E74F4" w:rsidRDefault="002E74F4" w:rsidP="002E74F4">
      <w:pPr>
        <w:jc w:val="both"/>
        <w:rPr>
          <w:rFonts w:ascii="Times New Roman" w:hAnsi="Times New Roman" w:cs="Times New Roman"/>
          <w:b/>
          <w:sz w:val="24"/>
          <w:szCs w:val="24"/>
        </w:rPr>
      </w:pPr>
    </w:p>
    <w:p w:rsidR="002F129A" w:rsidRPr="002E74F4" w:rsidRDefault="002F129A" w:rsidP="002E74F4">
      <w:pPr>
        <w:jc w:val="both"/>
        <w:rPr>
          <w:rFonts w:ascii="Times New Roman" w:hAnsi="Times New Roman" w:cs="Times New Roman"/>
          <w:b/>
          <w:sz w:val="24"/>
          <w:szCs w:val="24"/>
        </w:rPr>
      </w:pPr>
      <w:r w:rsidRPr="002E74F4">
        <w:rPr>
          <w:rFonts w:ascii="Times New Roman" w:hAnsi="Times New Roman" w:cs="Times New Roman"/>
          <w:b/>
          <w:sz w:val="24"/>
          <w:szCs w:val="24"/>
        </w:rPr>
        <w:t>2.2.3. Riesgos Operacionales</w:t>
      </w:r>
    </w:p>
    <w:p w:rsidR="002F129A" w:rsidRPr="002E74F4" w:rsidRDefault="002E74F4" w:rsidP="002E74F4">
      <w:pPr>
        <w:jc w:val="both"/>
        <w:rPr>
          <w:rFonts w:ascii="Times New Roman" w:hAnsi="Times New Roman" w:cs="Times New Roman"/>
          <w:sz w:val="24"/>
          <w:szCs w:val="24"/>
        </w:rPr>
      </w:pPr>
      <w:r w:rsidRPr="002E74F4">
        <w:rPr>
          <w:rFonts w:ascii="Times New Roman" w:hAnsi="Times New Roman" w:cs="Times New Roman"/>
          <w:sz w:val="24"/>
          <w:szCs w:val="24"/>
        </w:rPr>
        <w:t>Los riesgos operacionales están relacionados con fallos en los procesos internos, errores humanos y deficiencias en los procedimientos establecidos. En SEGPRO, estos riesgos pueden aparecer a través de una gestión inadecuada de incidentes, la falta de capacitación del personal o la ausencia de controles internos claros, lo que aumenta la probabilidad de interrupciones en las operaciones diarias.</w:t>
      </w:r>
    </w:p>
    <w:p w:rsidR="002E74F4" w:rsidRPr="002E74F4" w:rsidRDefault="002E74F4" w:rsidP="002E74F4">
      <w:pPr>
        <w:jc w:val="both"/>
        <w:rPr>
          <w:rFonts w:ascii="Times New Roman" w:hAnsi="Times New Roman" w:cs="Times New Roman"/>
          <w:sz w:val="24"/>
          <w:szCs w:val="24"/>
        </w:rPr>
      </w:pPr>
    </w:p>
    <w:p w:rsidR="002E74F4" w:rsidRPr="002E74F4" w:rsidRDefault="002E74F4" w:rsidP="002E74F4">
      <w:pPr>
        <w:jc w:val="both"/>
        <w:rPr>
          <w:rFonts w:ascii="Times New Roman" w:hAnsi="Times New Roman" w:cs="Times New Roman"/>
          <w:sz w:val="24"/>
          <w:szCs w:val="24"/>
        </w:rPr>
      </w:pPr>
    </w:p>
    <w:p w:rsidR="002E74F4" w:rsidRPr="002E74F4" w:rsidRDefault="002E74F4" w:rsidP="002E74F4">
      <w:pPr>
        <w:jc w:val="both"/>
        <w:rPr>
          <w:rFonts w:ascii="Times New Roman" w:hAnsi="Times New Roman" w:cs="Times New Roman"/>
          <w:sz w:val="24"/>
          <w:szCs w:val="24"/>
        </w:rPr>
      </w:pPr>
    </w:p>
    <w:p w:rsidR="002E74F4" w:rsidRPr="002E74F4" w:rsidRDefault="002E74F4" w:rsidP="002E74F4">
      <w:pPr>
        <w:jc w:val="both"/>
        <w:rPr>
          <w:rFonts w:ascii="Times New Roman" w:hAnsi="Times New Roman" w:cs="Times New Roman"/>
          <w:sz w:val="24"/>
          <w:szCs w:val="24"/>
        </w:rPr>
      </w:pPr>
    </w:p>
    <w:p w:rsidR="002E74F4" w:rsidRPr="002E74F4" w:rsidRDefault="002E74F4" w:rsidP="002E74F4">
      <w:pPr>
        <w:jc w:val="both"/>
        <w:rPr>
          <w:rFonts w:ascii="Times New Roman" w:hAnsi="Times New Roman" w:cs="Times New Roman"/>
          <w:sz w:val="24"/>
          <w:szCs w:val="24"/>
        </w:rPr>
      </w:pPr>
    </w:p>
    <w:p w:rsidR="002E74F4" w:rsidRPr="002E74F4" w:rsidRDefault="002E74F4" w:rsidP="002E74F4">
      <w:pPr>
        <w:jc w:val="both"/>
        <w:rPr>
          <w:rFonts w:ascii="Times New Roman" w:hAnsi="Times New Roman" w:cs="Times New Roman"/>
          <w:sz w:val="24"/>
          <w:szCs w:val="24"/>
        </w:rPr>
      </w:pPr>
    </w:p>
    <w:p w:rsidR="002E74F4" w:rsidRPr="002E74F4" w:rsidRDefault="002E74F4" w:rsidP="002E74F4">
      <w:pPr>
        <w:jc w:val="both"/>
        <w:rPr>
          <w:rFonts w:ascii="Times New Roman" w:hAnsi="Times New Roman" w:cs="Times New Roman"/>
          <w:sz w:val="24"/>
          <w:szCs w:val="24"/>
        </w:rPr>
      </w:pPr>
    </w:p>
    <w:p w:rsidR="002F129A" w:rsidRPr="002E74F4" w:rsidRDefault="002F129A" w:rsidP="002E74F4">
      <w:pPr>
        <w:jc w:val="both"/>
        <w:rPr>
          <w:rFonts w:ascii="Times New Roman" w:hAnsi="Times New Roman" w:cs="Times New Roman"/>
          <w:b/>
          <w:sz w:val="24"/>
          <w:szCs w:val="24"/>
        </w:rPr>
      </w:pPr>
      <w:r w:rsidRPr="002E74F4">
        <w:rPr>
          <w:rFonts w:ascii="Times New Roman" w:hAnsi="Times New Roman" w:cs="Times New Roman"/>
          <w:b/>
          <w:sz w:val="24"/>
          <w:szCs w:val="24"/>
        </w:rPr>
        <w:t>2.2.4. Riesgos de Seguridad Física</w:t>
      </w:r>
    </w:p>
    <w:p w:rsidR="002F129A" w:rsidRPr="002E74F4" w:rsidRDefault="002E74F4"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Los riesgos de seguridad física están relacionados con el acceso no autorizado a las instalaciones, el robo de equipos, el vandalismo o los daños a la infraestructura. En el contexto de SEGPRO, la ausencia de controles de acceso, una vigilancia adecuada o sistemas de monitoreo podría poner en peligro tanto los </w:t>
      </w:r>
      <w:bookmarkStart w:id="0" w:name="_GoBack"/>
      <w:bookmarkEnd w:id="0"/>
      <w:r w:rsidRPr="002E74F4">
        <w:rPr>
          <w:rFonts w:ascii="Times New Roman" w:hAnsi="Times New Roman" w:cs="Times New Roman"/>
          <w:sz w:val="24"/>
          <w:szCs w:val="24"/>
        </w:rPr>
        <w:t>activos físicos como la información almacenada en los dispositivos tecnológicos.</w:t>
      </w:r>
    </w:p>
    <w:p w:rsidR="002F129A" w:rsidRPr="002E74F4" w:rsidRDefault="002F129A" w:rsidP="002E74F4">
      <w:pPr>
        <w:jc w:val="both"/>
        <w:rPr>
          <w:rFonts w:ascii="Times New Roman" w:hAnsi="Times New Roman" w:cs="Times New Roman"/>
          <w:sz w:val="24"/>
          <w:szCs w:val="24"/>
        </w:rPr>
      </w:pPr>
    </w:p>
    <w:p w:rsidR="002F129A" w:rsidRPr="002E74F4" w:rsidRDefault="002F129A" w:rsidP="002E74F4">
      <w:pPr>
        <w:jc w:val="both"/>
        <w:rPr>
          <w:rFonts w:ascii="Times New Roman" w:hAnsi="Times New Roman" w:cs="Times New Roman"/>
          <w:sz w:val="24"/>
          <w:szCs w:val="24"/>
        </w:rPr>
      </w:pPr>
    </w:p>
    <w:p w:rsidR="002F129A" w:rsidRPr="002E74F4" w:rsidRDefault="002F129A" w:rsidP="002E74F4">
      <w:pPr>
        <w:jc w:val="both"/>
        <w:rPr>
          <w:rFonts w:ascii="Times New Roman" w:hAnsi="Times New Roman" w:cs="Times New Roman"/>
          <w:b/>
          <w:sz w:val="24"/>
          <w:szCs w:val="24"/>
        </w:rPr>
      </w:pPr>
      <w:r w:rsidRPr="002E74F4">
        <w:rPr>
          <w:rFonts w:ascii="Times New Roman" w:hAnsi="Times New Roman" w:cs="Times New Roman"/>
          <w:b/>
          <w:sz w:val="24"/>
          <w:szCs w:val="24"/>
        </w:rPr>
        <w:t>2.2.5. Riesgos Regulatorios y Legales</w:t>
      </w:r>
    </w:p>
    <w:p w:rsidR="002F129A" w:rsidRPr="002E74F4" w:rsidRDefault="002E74F4" w:rsidP="002E74F4">
      <w:pPr>
        <w:jc w:val="both"/>
        <w:rPr>
          <w:rFonts w:ascii="Times New Roman" w:hAnsi="Times New Roman" w:cs="Times New Roman"/>
          <w:sz w:val="24"/>
          <w:szCs w:val="24"/>
        </w:rPr>
      </w:pPr>
      <w:r w:rsidRPr="002E74F4">
        <w:rPr>
          <w:rFonts w:ascii="Times New Roman" w:hAnsi="Times New Roman" w:cs="Times New Roman"/>
          <w:sz w:val="24"/>
          <w:szCs w:val="24"/>
        </w:rPr>
        <w:t>Los riesgos regulatorios y legales se refieren a las posibles consecuencias de no cumplir con las leyes, normativas y regulaciones actuales que protegen los datos, garantizan la seguridad de la información y aseguran la continuidad del negocio. Para SEGPRO, ignorar estas obligaciones puede resultar en sanciones legales, multas y un daño considerable a su reputación institucional.</w:t>
      </w:r>
    </w:p>
    <w:p w:rsidR="00B628FA" w:rsidRPr="002E74F4" w:rsidRDefault="00B628FA" w:rsidP="002E74F4">
      <w:pPr>
        <w:jc w:val="both"/>
        <w:rPr>
          <w:rFonts w:ascii="Times New Roman" w:hAnsi="Times New Roman" w:cs="Times New Roman"/>
          <w:b/>
          <w:sz w:val="24"/>
          <w:szCs w:val="24"/>
        </w:rPr>
      </w:pPr>
    </w:p>
    <w:p w:rsidR="00B628FA" w:rsidRPr="002E74F4" w:rsidRDefault="00B628FA" w:rsidP="002E74F4">
      <w:pPr>
        <w:jc w:val="both"/>
        <w:rPr>
          <w:rFonts w:ascii="Times New Roman" w:hAnsi="Times New Roman" w:cs="Times New Roman"/>
          <w:b/>
          <w:sz w:val="24"/>
          <w:szCs w:val="24"/>
        </w:rPr>
      </w:pPr>
      <w:r w:rsidRPr="002E74F4">
        <w:rPr>
          <w:rFonts w:ascii="Times New Roman" w:hAnsi="Times New Roman" w:cs="Times New Roman"/>
          <w:b/>
          <w:sz w:val="24"/>
          <w:szCs w:val="24"/>
        </w:rPr>
        <w:t>2.3 Análisis de Impacto de Negocio (BIA)</w:t>
      </w:r>
    </w:p>
    <w:p w:rsidR="00B628FA" w:rsidRPr="002E74F4" w:rsidRDefault="00B628FA" w:rsidP="002E74F4">
      <w:pPr>
        <w:jc w:val="both"/>
        <w:rPr>
          <w:rFonts w:ascii="Times New Roman" w:hAnsi="Times New Roman" w:cs="Times New Roman"/>
          <w:sz w:val="24"/>
          <w:szCs w:val="24"/>
        </w:rPr>
      </w:pPr>
      <w:r w:rsidRPr="002E74F4">
        <w:rPr>
          <w:rFonts w:ascii="Times New Roman" w:hAnsi="Times New Roman" w:cs="Times New Roman"/>
          <w:sz w:val="24"/>
          <w:szCs w:val="24"/>
        </w:rPr>
        <w:t>El Análisis de Impacto de Negocio (BIA) es una metodología que se utiliza para identificar los procesos críticos dentro de una organización y evaluar las consecuencias que podrían surgir de su interrupción. Desde una perspectiva teórica, el BIA se enfoca en los efectos de una interrupción en lugar de en sus causas, lo que permite a la empresa establecer prioridades para la recuperación.</w:t>
      </w:r>
    </w:p>
    <w:p w:rsidR="00B628FA" w:rsidRPr="002E74F4" w:rsidRDefault="00B628FA" w:rsidP="002E74F4">
      <w:pPr>
        <w:jc w:val="both"/>
        <w:rPr>
          <w:rFonts w:ascii="Times New Roman" w:hAnsi="Times New Roman" w:cs="Times New Roman"/>
          <w:sz w:val="24"/>
          <w:szCs w:val="24"/>
        </w:rPr>
      </w:pPr>
    </w:p>
    <w:p w:rsidR="0034563D" w:rsidRPr="002E74F4" w:rsidRDefault="00B628FA" w:rsidP="002E74F4">
      <w:pPr>
        <w:jc w:val="both"/>
        <w:rPr>
          <w:rFonts w:ascii="Times New Roman" w:hAnsi="Times New Roman" w:cs="Times New Roman"/>
          <w:sz w:val="24"/>
          <w:szCs w:val="24"/>
        </w:rPr>
      </w:pPr>
      <w:r w:rsidRPr="002E74F4">
        <w:rPr>
          <w:rFonts w:ascii="Times New Roman" w:hAnsi="Times New Roman" w:cs="Times New Roman"/>
          <w:sz w:val="24"/>
          <w:szCs w:val="24"/>
        </w:rPr>
        <w:t>En SEGPRO, el BIA ayuda a entender cómo una interrupción en los servicios de seguridad, la gestión de datos o el soporte técnico puede tener repercusiones financieras, operativas, y legales, esta información es fundamental para diseñar planes de continuidad del negocio.</w:t>
      </w:r>
    </w:p>
    <w:p w:rsidR="0034563D" w:rsidRPr="002E74F4" w:rsidRDefault="0034563D" w:rsidP="002E74F4">
      <w:pPr>
        <w:jc w:val="both"/>
        <w:rPr>
          <w:rFonts w:ascii="Times New Roman" w:hAnsi="Times New Roman" w:cs="Times New Roman"/>
          <w:sz w:val="24"/>
          <w:szCs w:val="24"/>
        </w:rPr>
      </w:pPr>
    </w:p>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Procesos críticos </w:t>
      </w:r>
      <w:r w:rsidR="002F129A" w:rsidRPr="002E74F4">
        <w:rPr>
          <w:rFonts w:ascii="Times New Roman" w:hAnsi="Times New Roman" w:cs="Times New Roman"/>
          <w:sz w:val="24"/>
          <w:szCs w:val="24"/>
        </w:rPr>
        <w:t>d</w:t>
      </w:r>
      <w:r w:rsidRPr="002E74F4">
        <w:rPr>
          <w:rFonts w:ascii="Times New Roman" w:hAnsi="Times New Roman" w:cs="Times New Roman"/>
          <w:sz w:val="24"/>
          <w:szCs w:val="24"/>
        </w:rPr>
        <w:t xml:space="preserve">e </w:t>
      </w:r>
      <w:r w:rsidRPr="002E74F4">
        <w:rPr>
          <w:rFonts w:ascii="Times New Roman" w:hAnsi="Times New Roman" w:cs="Times New Roman"/>
          <w:spacing w:val="-2"/>
          <w:sz w:val="24"/>
          <w:szCs w:val="24"/>
        </w:rPr>
        <w:t>impacto</w:t>
      </w:r>
    </w:p>
    <w:p w:rsidR="0034563D" w:rsidRPr="002E74F4" w:rsidRDefault="0034563D" w:rsidP="002E74F4">
      <w:pPr>
        <w:jc w:val="both"/>
        <w:rPr>
          <w:rFonts w:ascii="Times New Roman" w:hAnsi="Times New Roman" w:cs="Times New Roman"/>
          <w:sz w:val="24"/>
          <w:szCs w:val="24"/>
        </w:rPr>
      </w:pPr>
    </w:p>
    <w:tbl>
      <w:tblPr>
        <w:tblStyle w:val="TableNormal"/>
        <w:tblW w:w="0" w:type="auto"/>
        <w:tblInd w:w="4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00"/>
        <w:gridCol w:w="2800"/>
        <w:gridCol w:w="3000"/>
        <w:gridCol w:w="1400"/>
      </w:tblGrid>
      <w:tr w:rsidR="0034563D" w:rsidRPr="002E74F4">
        <w:trPr>
          <w:trHeight w:val="340"/>
        </w:trPr>
        <w:tc>
          <w:tcPr>
            <w:tcW w:w="2200" w:type="dxa"/>
            <w:shd w:val="clear" w:color="auto" w:fill="D3D3D3"/>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Proceso</w:t>
            </w:r>
          </w:p>
        </w:tc>
        <w:tc>
          <w:tcPr>
            <w:tcW w:w="2800" w:type="dxa"/>
            <w:shd w:val="clear" w:color="auto" w:fill="D3D3D3"/>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Descripción</w:t>
            </w:r>
          </w:p>
        </w:tc>
        <w:tc>
          <w:tcPr>
            <w:tcW w:w="3000" w:type="dxa"/>
            <w:shd w:val="clear" w:color="auto" w:fill="D3D3D3"/>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Impacto</w:t>
            </w:r>
          </w:p>
        </w:tc>
        <w:tc>
          <w:tcPr>
            <w:tcW w:w="1400" w:type="dxa"/>
            <w:shd w:val="clear" w:color="auto" w:fill="D3D3D3"/>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Nivel</w:t>
            </w:r>
          </w:p>
        </w:tc>
      </w:tr>
      <w:tr w:rsidR="0034563D" w:rsidRPr="002E74F4">
        <w:trPr>
          <w:trHeight w:val="340"/>
        </w:trPr>
        <w:tc>
          <w:tcPr>
            <w:tcW w:w="22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Gestión de </w:t>
            </w:r>
            <w:r w:rsidRPr="002E74F4">
              <w:rPr>
                <w:rFonts w:ascii="Times New Roman" w:hAnsi="Times New Roman" w:cs="Times New Roman"/>
                <w:spacing w:val="-2"/>
                <w:sz w:val="24"/>
                <w:szCs w:val="24"/>
              </w:rPr>
              <w:t>servicios</w:t>
            </w:r>
          </w:p>
        </w:tc>
        <w:tc>
          <w:tcPr>
            <w:tcW w:w="28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Protección de </w:t>
            </w:r>
            <w:r w:rsidRPr="002E74F4">
              <w:rPr>
                <w:rFonts w:ascii="Times New Roman" w:hAnsi="Times New Roman" w:cs="Times New Roman"/>
                <w:spacing w:val="-2"/>
                <w:sz w:val="24"/>
                <w:szCs w:val="24"/>
              </w:rPr>
              <w:t>sistemas</w:t>
            </w:r>
          </w:p>
        </w:tc>
        <w:tc>
          <w:tcPr>
            <w:tcW w:w="30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Pérdida de </w:t>
            </w:r>
            <w:r w:rsidRPr="002E74F4">
              <w:rPr>
                <w:rFonts w:ascii="Times New Roman" w:hAnsi="Times New Roman" w:cs="Times New Roman"/>
                <w:spacing w:val="-2"/>
                <w:sz w:val="24"/>
                <w:szCs w:val="24"/>
              </w:rPr>
              <w:t>confianza</w:t>
            </w:r>
          </w:p>
        </w:tc>
        <w:tc>
          <w:tcPr>
            <w:tcW w:w="14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4"/>
                <w:sz w:val="24"/>
                <w:szCs w:val="24"/>
              </w:rPr>
              <w:t>Alto</w:t>
            </w:r>
          </w:p>
        </w:tc>
      </w:tr>
      <w:tr w:rsidR="0034563D" w:rsidRPr="002E74F4">
        <w:trPr>
          <w:trHeight w:val="340"/>
        </w:trPr>
        <w:tc>
          <w:tcPr>
            <w:tcW w:w="22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Administración de </w:t>
            </w:r>
            <w:r w:rsidRPr="002E74F4">
              <w:rPr>
                <w:rFonts w:ascii="Times New Roman" w:hAnsi="Times New Roman" w:cs="Times New Roman"/>
                <w:spacing w:val="-2"/>
                <w:sz w:val="24"/>
                <w:szCs w:val="24"/>
              </w:rPr>
              <w:t>datos</w:t>
            </w:r>
          </w:p>
        </w:tc>
        <w:tc>
          <w:tcPr>
            <w:tcW w:w="28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Gestión de </w:t>
            </w:r>
            <w:r w:rsidRPr="002E74F4">
              <w:rPr>
                <w:rFonts w:ascii="Times New Roman" w:hAnsi="Times New Roman" w:cs="Times New Roman"/>
                <w:spacing w:val="-2"/>
                <w:sz w:val="24"/>
                <w:szCs w:val="24"/>
              </w:rPr>
              <w:t>información</w:t>
            </w:r>
          </w:p>
        </w:tc>
        <w:tc>
          <w:tcPr>
            <w:tcW w:w="30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Sanciones </w:t>
            </w:r>
            <w:r w:rsidRPr="002E74F4">
              <w:rPr>
                <w:rFonts w:ascii="Times New Roman" w:hAnsi="Times New Roman" w:cs="Times New Roman"/>
                <w:spacing w:val="-2"/>
                <w:sz w:val="24"/>
                <w:szCs w:val="24"/>
              </w:rPr>
              <w:t>legales</w:t>
            </w:r>
          </w:p>
        </w:tc>
        <w:tc>
          <w:tcPr>
            <w:tcW w:w="1400" w:type="dxa"/>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4"/>
                <w:sz w:val="24"/>
                <w:szCs w:val="24"/>
              </w:rPr>
              <w:t>Alto</w:t>
            </w:r>
          </w:p>
        </w:tc>
      </w:tr>
      <w:tr w:rsidR="0034563D" w:rsidRPr="002E74F4" w:rsidTr="00B628FA">
        <w:trPr>
          <w:trHeight w:val="339"/>
        </w:trPr>
        <w:tc>
          <w:tcPr>
            <w:tcW w:w="2200" w:type="dxa"/>
            <w:tcBorders>
              <w:bottom w:val="single" w:sz="4" w:space="0" w:color="auto"/>
            </w:tcBorders>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Soporte </w:t>
            </w:r>
            <w:r w:rsidRPr="002E74F4">
              <w:rPr>
                <w:rFonts w:ascii="Times New Roman" w:hAnsi="Times New Roman" w:cs="Times New Roman"/>
                <w:spacing w:val="-2"/>
                <w:sz w:val="24"/>
                <w:szCs w:val="24"/>
              </w:rPr>
              <w:t>técnico</w:t>
            </w:r>
          </w:p>
        </w:tc>
        <w:tc>
          <w:tcPr>
            <w:tcW w:w="2800" w:type="dxa"/>
            <w:tcBorders>
              <w:bottom w:val="single" w:sz="4" w:space="0" w:color="auto"/>
            </w:tcBorders>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Atención a </w:t>
            </w:r>
            <w:r w:rsidRPr="002E74F4">
              <w:rPr>
                <w:rFonts w:ascii="Times New Roman" w:hAnsi="Times New Roman" w:cs="Times New Roman"/>
                <w:spacing w:val="-2"/>
                <w:sz w:val="24"/>
                <w:szCs w:val="24"/>
              </w:rPr>
              <w:t>incidentes</w:t>
            </w:r>
          </w:p>
        </w:tc>
        <w:tc>
          <w:tcPr>
            <w:tcW w:w="3000" w:type="dxa"/>
            <w:tcBorders>
              <w:bottom w:val="single" w:sz="4" w:space="0" w:color="auto"/>
            </w:tcBorders>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Insatisfacción del </w:t>
            </w:r>
            <w:r w:rsidRPr="002E74F4">
              <w:rPr>
                <w:rFonts w:ascii="Times New Roman" w:hAnsi="Times New Roman" w:cs="Times New Roman"/>
                <w:spacing w:val="-2"/>
                <w:sz w:val="24"/>
                <w:szCs w:val="24"/>
              </w:rPr>
              <w:t>cliente</w:t>
            </w:r>
          </w:p>
        </w:tc>
        <w:tc>
          <w:tcPr>
            <w:tcW w:w="1400" w:type="dxa"/>
            <w:tcBorders>
              <w:bottom w:val="single" w:sz="4" w:space="0" w:color="auto"/>
            </w:tcBorders>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Medio</w:t>
            </w:r>
          </w:p>
        </w:tc>
      </w:tr>
      <w:tr w:rsidR="0034563D" w:rsidRPr="002E74F4" w:rsidTr="00B628FA">
        <w:trPr>
          <w:trHeight w:val="340"/>
        </w:trPr>
        <w:tc>
          <w:tcPr>
            <w:tcW w:w="2200" w:type="dxa"/>
            <w:tcBorders>
              <w:top w:val="single" w:sz="4" w:space="0" w:color="auto"/>
              <w:left w:val="single" w:sz="4" w:space="0" w:color="auto"/>
              <w:bottom w:val="single" w:sz="4" w:space="0" w:color="auto"/>
              <w:right w:val="single" w:sz="4" w:space="0" w:color="auto"/>
            </w:tcBorders>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Operaciones </w:t>
            </w:r>
            <w:r w:rsidRPr="002E74F4">
              <w:rPr>
                <w:rFonts w:ascii="Times New Roman" w:hAnsi="Times New Roman" w:cs="Times New Roman"/>
                <w:spacing w:val="-2"/>
                <w:sz w:val="24"/>
                <w:szCs w:val="24"/>
              </w:rPr>
              <w:t>internas</w:t>
            </w:r>
          </w:p>
        </w:tc>
        <w:tc>
          <w:tcPr>
            <w:tcW w:w="2800" w:type="dxa"/>
            <w:tcBorders>
              <w:top w:val="single" w:sz="4" w:space="0" w:color="auto"/>
              <w:left w:val="single" w:sz="4" w:space="0" w:color="auto"/>
              <w:bottom w:val="single" w:sz="4" w:space="0" w:color="auto"/>
              <w:right w:val="single" w:sz="4" w:space="0" w:color="auto"/>
            </w:tcBorders>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Gestión </w:t>
            </w:r>
            <w:r w:rsidRPr="002E74F4">
              <w:rPr>
                <w:rFonts w:ascii="Times New Roman" w:hAnsi="Times New Roman" w:cs="Times New Roman"/>
                <w:spacing w:val="-2"/>
                <w:sz w:val="24"/>
                <w:szCs w:val="24"/>
              </w:rPr>
              <w:t>administrativa</w:t>
            </w:r>
          </w:p>
        </w:tc>
        <w:tc>
          <w:tcPr>
            <w:tcW w:w="3000" w:type="dxa"/>
            <w:tcBorders>
              <w:top w:val="single" w:sz="4" w:space="0" w:color="auto"/>
              <w:left w:val="single" w:sz="4" w:space="0" w:color="auto"/>
              <w:bottom w:val="single" w:sz="4" w:space="0" w:color="auto"/>
              <w:right w:val="single" w:sz="4" w:space="0" w:color="auto"/>
            </w:tcBorders>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Retrasos </w:t>
            </w:r>
            <w:r w:rsidRPr="002E74F4">
              <w:rPr>
                <w:rFonts w:ascii="Times New Roman" w:hAnsi="Times New Roman" w:cs="Times New Roman"/>
                <w:spacing w:val="-2"/>
                <w:sz w:val="24"/>
                <w:szCs w:val="24"/>
              </w:rPr>
              <w:t>operativos</w:t>
            </w:r>
          </w:p>
        </w:tc>
        <w:tc>
          <w:tcPr>
            <w:tcW w:w="1400" w:type="dxa"/>
            <w:tcBorders>
              <w:top w:val="single" w:sz="4" w:space="0" w:color="auto"/>
              <w:left w:val="single" w:sz="4" w:space="0" w:color="auto"/>
              <w:bottom w:val="single" w:sz="4" w:space="0" w:color="auto"/>
              <w:right w:val="single" w:sz="4" w:space="0" w:color="auto"/>
            </w:tcBorders>
          </w:tcPr>
          <w:p w:rsidR="0034563D" w:rsidRPr="002E74F4" w:rsidRDefault="00DD7078" w:rsidP="002E74F4">
            <w:pPr>
              <w:jc w:val="both"/>
              <w:rPr>
                <w:rFonts w:ascii="Times New Roman" w:hAnsi="Times New Roman" w:cs="Times New Roman"/>
                <w:sz w:val="24"/>
                <w:szCs w:val="24"/>
              </w:rPr>
            </w:pPr>
            <w:r w:rsidRPr="002E74F4">
              <w:rPr>
                <w:rFonts w:ascii="Times New Roman" w:hAnsi="Times New Roman" w:cs="Times New Roman"/>
                <w:spacing w:val="-2"/>
                <w:sz w:val="24"/>
                <w:szCs w:val="24"/>
              </w:rPr>
              <w:t>Medio</w:t>
            </w:r>
          </w:p>
        </w:tc>
      </w:tr>
      <w:tr w:rsidR="00B628FA" w:rsidRPr="002E74F4" w:rsidTr="00B628FA">
        <w:trPr>
          <w:trHeight w:val="340"/>
        </w:trPr>
        <w:tc>
          <w:tcPr>
            <w:tcW w:w="2200" w:type="dxa"/>
            <w:tcBorders>
              <w:top w:val="single" w:sz="4" w:space="0" w:color="auto"/>
              <w:left w:val="nil"/>
              <w:bottom w:val="nil"/>
              <w:right w:val="nil"/>
            </w:tcBorders>
            <w:shd w:val="clear" w:color="auto" w:fill="auto"/>
          </w:tcPr>
          <w:p w:rsidR="00B628FA" w:rsidRPr="002E74F4" w:rsidRDefault="00B628FA" w:rsidP="002E74F4">
            <w:pPr>
              <w:jc w:val="both"/>
              <w:rPr>
                <w:rFonts w:ascii="Times New Roman" w:hAnsi="Times New Roman" w:cs="Times New Roman"/>
                <w:sz w:val="24"/>
                <w:szCs w:val="24"/>
              </w:rPr>
            </w:pPr>
          </w:p>
        </w:tc>
        <w:tc>
          <w:tcPr>
            <w:tcW w:w="2800" w:type="dxa"/>
            <w:tcBorders>
              <w:top w:val="single" w:sz="4" w:space="0" w:color="auto"/>
              <w:left w:val="nil"/>
              <w:bottom w:val="nil"/>
              <w:right w:val="nil"/>
            </w:tcBorders>
            <w:shd w:val="clear" w:color="auto" w:fill="auto"/>
          </w:tcPr>
          <w:p w:rsidR="00B628FA" w:rsidRPr="002E74F4" w:rsidRDefault="00B628FA" w:rsidP="002E74F4">
            <w:pPr>
              <w:jc w:val="both"/>
              <w:rPr>
                <w:rFonts w:ascii="Times New Roman" w:hAnsi="Times New Roman" w:cs="Times New Roman"/>
                <w:sz w:val="24"/>
                <w:szCs w:val="24"/>
              </w:rPr>
            </w:pPr>
          </w:p>
        </w:tc>
        <w:tc>
          <w:tcPr>
            <w:tcW w:w="3000" w:type="dxa"/>
            <w:tcBorders>
              <w:top w:val="single" w:sz="4" w:space="0" w:color="auto"/>
              <w:left w:val="nil"/>
              <w:bottom w:val="nil"/>
              <w:right w:val="nil"/>
            </w:tcBorders>
            <w:shd w:val="clear" w:color="auto" w:fill="auto"/>
          </w:tcPr>
          <w:p w:rsidR="00B628FA" w:rsidRPr="002E74F4" w:rsidRDefault="00B628FA" w:rsidP="002E74F4">
            <w:pPr>
              <w:jc w:val="both"/>
              <w:rPr>
                <w:rFonts w:ascii="Times New Roman" w:hAnsi="Times New Roman" w:cs="Times New Roman"/>
                <w:sz w:val="24"/>
                <w:szCs w:val="24"/>
              </w:rPr>
            </w:pPr>
          </w:p>
        </w:tc>
        <w:tc>
          <w:tcPr>
            <w:tcW w:w="1400" w:type="dxa"/>
            <w:tcBorders>
              <w:top w:val="single" w:sz="4" w:space="0" w:color="auto"/>
              <w:left w:val="nil"/>
              <w:bottom w:val="nil"/>
              <w:right w:val="nil"/>
            </w:tcBorders>
            <w:shd w:val="clear" w:color="auto" w:fill="auto"/>
          </w:tcPr>
          <w:p w:rsidR="00B628FA" w:rsidRPr="002E74F4" w:rsidRDefault="00B628FA" w:rsidP="002E74F4">
            <w:pPr>
              <w:jc w:val="both"/>
              <w:rPr>
                <w:rFonts w:ascii="Times New Roman" w:hAnsi="Times New Roman" w:cs="Times New Roman"/>
                <w:spacing w:val="-2"/>
                <w:sz w:val="24"/>
                <w:szCs w:val="24"/>
              </w:rPr>
            </w:pPr>
          </w:p>
        </w:tc>
      </w:tr>
    </w:tbl>
    <w:p w:rsidR="00B628FA" w:rsidRPr="002E74F4" w:rsidRDefault="00B628FA" w:rsidP="002E74F4">
      <w:pPr>
        <w:jc w:val="both"/>
        <w:rPr>
          <w:rFonts w:ascii="Times New Roman" w:hAnsi="Times New Roman" w:cs="Times New Roman"/>
          <w:sz w:val="24"/>
          <w:szCs w:val="24"/>
        </w:rPr>
      </w:pPr>
    </w:p>
    <w:p w:rsidR="00B628FA" w:rsidRPr="002E74F4" w:rsidRDefault="00B628FA" w:rsidP="002E74F4">
      <w:pPr>
        <w:jc w:val="both"/>
        <w:rPr>
          <w:rFonts w:ascii="Times New Roman" w:hAnsi="Times New Roman" w:cs="Times New Roman"/>
          <w:sz w:val="24"/>
          <w:szCs w:val="24"/>
        </w:rPr>
      </w:pPr>
      <w:r w:rsidRPr="002E74F4">
        <w:rPr>
          <w:rFonts w:ascii="Times New Roman" w:hAnsi="Times New Roman" w:cs="Times New Roman"/>
          <w:sz w:val="24"/>
          <w:szCs w:val="24"/>
        </w:rPr>
        <w:t>El BIA nos muestra que mantener la continuidad de los procesos críticos es fundamental para la sostenibilidad de SEGPRO. Al definir tiempos objetivos de recuperación (RTO), podemos establecer límites claros sobre lo que se puede tolerar ante interrupciones. Esto facilita la planificación de estrategias de recuperación y ayuda a minimizar el impacto en el negocio.</w:t>
      </w:r>
    </w:p>
    <w:p w:rsidR="00B628FA" w:rsidRPr="002E74F4" w:rsidRDefault="00B628FA" w:rsidP="002E74F4">
      <w:pPr>
        <w:jc w:val="both"/>
        <w:rPr>
          <w:rFonts w:ascii="Times New Roman" w:hAnsi="Times New Roman" w:cs="Times New Roman"/>
          <w:sz w:val="24"/>
          <w:szCs w:val="24"/>
        </w:rPr>
      </w:pPr>
      <w:r w:rsidRPr="002E74F4">
        <w:rPr>
          <w:rFonts w:ascii="Times New Roman" w:hAnsi="Times New Roman" w:cs="Times New Roman"/>
          <w:sz w:val="24"/>
          <w:szCs w:val="24"/>
        </w:rPr>
        <w:t xml:space="preserve">En resumen, el desarrollo del Análisis de Riesgo y del Análisis de Impacto de Negocio pone de manifiesto que la seguridad de la información y la continuidad operativa son aspectos clave para la sostenibilidad de SEGPRO. </w:t>
      </w:r>
    </w:p>
    <w:p w:rsidR="002E74F4" w:rsidRPr="002E74F4" w:rsidRDefault="002E74F4" w:rsidP="002E74F4">
      <w:pPr>
        <w:jc w:val="both"/>
        <w:rPr>
          <w:rFonts w:ascii="Times New Roman" w:hAnsi="Times New Roman" w:cs="Times New Roman"/>
          <w:sz w:val="24"/>
          <w:szCs w:val="24"/>
        </w:rPr>
      </w:pPr>
    </w:p>
    <w:p w:rsidR="002E74F4" w:rsidRPr="002E74F4" w:rsidRDefault="002E74F4" w:rsidP="002E74F4">
      <w:pPr>
        <w:jc w:val="both"/>
        <w:rPr>
          <w:rFonts w:ascii="Times New Roman" w:hAnsi="Times New Roman" w:cs="Times New Roman"/>
          <w:b/>
          <w:sz w:val="24"/>
          <w:szCs w:val="24"/>
        </w:rPr>
      </w:pPr>
      <w:r w:rsidRPr="002E74F4">
        <w:rPr>
          <w:rFonts w:ascii="Times New Roman" w:hAnsi="Times New Roman" w:cs="Times New Roman"/>
          <w:b/>
          <w:sz w:val="24"/>
          <w:szCs w:val="24"/>
        </w:rPr>
        <w:t>2.3.1 Metodología de Evaluación del BIA</w:t>
      </w:r>
    </w:p>
    <w:p w:rsidR="002E74F4" w:rsidRDefault="002E74F4" w:rsidP="002E74F4">
      <w:pPr>
        <w:jc w:val="both"/>
        <w:rPr>
          <w:rFonts w:ascii="Times New Roman" w:hAnsi="Times New Roman" w:cs="Times New Roman"/>
          <w:sz w:val="24"/>
          <w:szCs w:val="24"/>
        </w:rPr>
      </w:pPr>
    </w:p>
    <w:p w:rsidR="002E74F4" w:rsidRDefault="002E74F4" w:rsidP="002E74F4">
      <w:pPr>
        <w:jc w:val="both"/>
        <w:rPr>
          <w:rFonts w:ascii="Times New Roman" w:hAnsi="Times New Roman" w:cs="Times New Roman"/>
          <w:sz w:val="24"/>
          <w:szCs w:val="24"/>
        </w:rPr>
      </w:pPr>
    </w:p>
    <w:p w:rsidR="002E74F4" w:rsidRDefault="002E74F4" w:rsidP="002E74F4">
      <w:pPr>
        <w:tabs>
          <w:tab w:val="left" w:pos="1596"/>
        </w:tabs>
        <w:jc w:val="both"/>
        <w:rPr>
          <w:rFonts w:ascii="Times New Roman" w:hAnsi="Times New Roman" w:cs="Times New Roman"/>
          <w:sz w:val="24"/>
          <w:szCs w:val="24"/>
        </w:rPr>
      </w:pPr>
      <w:r w:rsidRPr="002E74F4">
        <w:rPr>
          <w:rFonts w:ascii="Times New Roman" w:hAnsi="Times New Roman" w:cs="Times New Roman"/>
          <w:sz w:val="24"/>
          <w:szCs w:val="24"/>
        </w:rPr>
        <w:t>La metodología que utiliza SEGPRO para evaluar el Análisis de Impacto de Negocio (BIA) se lleva a cabo de forma estructurada y sistemática. Su principal objetivo es identificar los procesos críticos y analizar las consecuencias que podrían surgir si se interrumpen. Gracias a esta metodología, se pueden establecer prioridades de recuperación y definir estrategias adecuadas para asegurar que la operación continúe sin contratiempos.</w:t>
      </w:r>
    </w:p>
    <w:p w:rsidR="002E74F4" w:rsidRDefault="002E74F4" w:rsidP="002E74F4">
      <w:pPr>
        <w:tabs>
          <w:tab w:val="left" w:pos="1596"/>
        </w:tabs>
        <w:jc w:val="both"/>
        <w:rPr>
          <w:rFonts w:ascii="Times New Roman" w:hAnsi="Times New Roman" w:cs="Times New Roman"/>
          <w:sz w:val="24"/>
          <w:szCs w:val="24"/>
        </w:rPr>
      </w:pPr>
    </w:p>
    <w:p w:rsidR="002E74F4" w:rsidRDefault="002E74F4" w:rsidP="002E74F4">
      <w:pPr>
        <w:tabs>
          <w:tab w:val="left" w:pos="1596"/>
        </w:tabs>
        <w:jc w:val="both"/>
        <w:rPr>
          <w:rFonts w:ascii="Times New Roman" w:hAnsi="Times New Roman" w:cs="Times New Roman"/>
          <w:sz w:val="24"/>
          <w:szCs w:val="24"/>
        </w:rPr>
      </w:pPr>
    </w:p>
    <w:p w:rsidR="002E74F4" w:rsidRPr="002E74F4" w:rsidRDefault="002E74F4" w:rsidP="002E74F4">
      <w:pPr>
        <w:tabs>
          <w:tab w:val="left" w:pos="1596"/>
        </w:tabs>
        <w:jc w:val="both"/>
        <w:rPr>
          <w:rFonts w:ascii="Times New Roman" w:hAnsi="Times New Roman" w:cs="Times New Roman"/>
          <w:sz w:val="24"/>
          <w:szCs w:val="24"/>
        </w:rPr>
      </w:pPr>
    </w:p>
    <w:p w:rsidR="002E74F4" w:rsidRPr="002E74F4" w:rsidRDefault="002E74F4" w:rsidP="002E74F4">
      <w:pPr>
        <w:tabs>
          <w:tab w:val="left" w:pos="1596"/>
        </w:tabs>
        <w:jc w:val="both"/>
        <w:rPr>
          <w:rFonts w:ascii="Times New Roman" w:hAnsi="Times New Roman" w:cs="Times New Roman"/>
          <w:sz w:val="24"/>
          <w:szCs w:val="24"/>
        </w:rPr>
      </w:pPr>
    </w:p>
    <w:p w:rsidR="002E74F4" w:rsidRDefault="002E74F4" w:rsidP="002E74F4">
      <w:pPr>
        <w:tabs>
          <w:tab w:val="left" w:pos="1596"/>
        </w:tabs>
        <w:jc w:val="both"/>
        <w:rPr>
          <w:rFonts w:ascii="Times New Roman" w:hAnsi="Times New Roman" w:cs="Times New Roman"/>
          <w:sz w:val="24"/>
          <w:szCs w:val="24"/>
        </w:rPr>
      </w:pPr>
      <w:r w:rsidRPr="002E74F4">
        <w:rPr>
          <w:rFonts w:ascii="Times New Roman" w:hAnsi="Times New Roman" w:cs="Times New Roman"/>
          <w:sz w:val="24"/>
          <w:szCs w:val="24"/>
        </w:rPr>
        <w:lastRenderedPageBreak/>
        <w:t>Primero, se identifican los procesos críticos, es decir, aquellos que son esenciales para el funcionamiento de la organización y para alcanzar sus objetivos estratégicos. Luego, se evalúa el impacto que tendría la interrupción de cada uno de estos procesos, considerando efectos fin</w:t>
      </w:r>
      <w:r>
        <w:rPr>
          <w:rFonts w:ascii="Times New Roman" w:hAnsi="Times New Roman" w:cs="Times New Roman"/>
          <w:sz w:val="24"/>
          <w:szCs w:val="24"/>
        </w:rPr>
        <w:t>ancieros, operativos y legales.</w:t>
      </w:r>
    </w:p>
    <w:p w:rsidR="002E74F4" w:rsidRPr="002E74F4" w:rsidRDefault="002E74F4" w:rsidP="002E74F4">
      <w:pPr>
        <w:tabs>
          <w:tab w:val="left" w:pos="1596"/>
        </w:tabs>
        <w:jc w:val="both"/>
        <w:rPr>
          <w:rFonts w:ascii="Times New Roman" w:hAnsi="Times New Roman" w:cs="Times New Roman"/>
          <w:sz w:val="24"/>
          <w:szCs w:val="24"/>
        </w:rPr>
      </w:pPr>
    </w:p>
    <w:p w:rsidR="002E74F4" w:rsidRPr="002E74F4" w:rsidRDefault="002E74F4" w:rsidP="002E74F4">
      <w:pPr>
        <w:tabs>
          <w:tab w:val="left" w:pos="1596"/>
        </w:tabs>
        <w:jc w:val="both"/>
        <w:rPr>
          <w:rFonts w:ascii="Times New Roman" w:hAnsi="Times New Roman" w:cs="Times New Roman"/>
          <w:sz w:val="24"/>
          <w:szCs w:val="24"/>
        </w:rPr>
      </w:pPr>
      <w:r w:rsidRPr="002E74F4">
        <w:rPr>
          <w:rFonts w:ascii="Times New Roman" w:hAnsi="Times New Roman" w:cs="Times New Roman"/>
          <w:sz w:val="24"/>
          <w:szCs w:val="24"/>
        </w:rPr>
        <w:t>En la siguiente fase, se determinan los tiempos objetivos de recuperación (RTO), que son el período máximo aceptable de interrupción para cada proceso crítico. Además, se identifican los recursos necesarios para la recuperación, como el personal, la tecnología, la información y los proveedores externos.</w:t>
      </w:r>
    </w:p>
    <w:p w:rsidR="002E74F4" w:rsidRPr="002E74F4" w:rsidRDefault="002E74F4" w:rsidP="002E74F4">
      <w:pPr>
        <w:tabs>
          <w:tab w:val="left" w:pos="1596"/>
        </w:tabs>
        <w:jc w:val="both"/>
        <w:rPr>
          <w:rFonts w:ascii="Times New Roman" w:hAnsi="Times New Roman" w:cs="Times New Roman"/>
          <w:sz w:val="24"/>
          <w:szCs w:val="24"/>
        </w:rPr>
      </w:pPr>
    </w:p>
    <w:p w:rsidR="002E74F4" w:rsidRDefault="002E74F4" w:rsidP="002E74F4">
      <w:pPr>
        <w:tabs>
          <w:tab w:val="left" w:pos="1596"/>
        </w:tabs>
        <w:jc w:val="both"/>
        <w:rPr>
          <w:rFonts w:ascii="Times New Roman" w:hAnsi="Times New Roman" w:cs="Times New Roman"/>
          <w:sz w:val="24"/>
          <w:szCs w:val="24"/>
        </w:rPr>
      </w:pPr>
      <w:r w:rsidRPr="002E74F4">
        <w:rPr>
          <w:rFonts w:ascii="Times New Roman" w:hAnsi="Times New Roman" w:cs="Times New Roman"/>
          <w:sz w:val="24"/>
          <w:szCs w:val="24"/>
        </w:rPr>
        <w:t>Finalmente, los resultados del BIA se documentan y se utilizan como base para crear los planes de continuidad del negocio y de recuperación ante desastres. Esta metodología ayuda a SEGPRO a minimizar el impacto de incidentes, mejorar su capacidad de respuesta y fortalecer la toma de decisiones estratégicas.</w:t>
      </w:r>
    </w:p>
    <w:p w:rsidR="002E74F4" w:rsidRPr="002E74F4" w:rsidRDefault="002E74F4" w:rsidP="002E74F4">
      <w:pPr>
        <w:jc w:val="both"/>
        <w:rPr>
          <w:rFonts w:ascii="Times New Roman" w:hAnsi="Times New Roman" w:cs="Times New Roman"/>
          <w:sz w:val="24"/>
          <w:szCs w:val="24"/>
        </w:rPr>
      </w:pPr>
    </w:p>
    <w:p w:rsidR="00DD7078" w:rsidRPr="002E74F4" w:rsidRDefault="00DD7078" w:rsidP="002E74F4">
      <w:pPr>
        <w:jc w:val="both"/>
        <w:rPr>
          <w:rFonts w:ascii="Times New Roman" w:hAnsi="Times New Roman" w:cs="Times New Roman"/>
          <w:sz w:val="24"/>
          <w:szCs w:val="24"/>
        </w:rPr>
      </w:pPr>
    </w:p>
    <w:p w:rsidR="00DD7078" w:rsidRPr="002E74F4" w:rsidRDefault="002F129A" w:rsidP="002E74F4">
      <w:pPr>
        <w:jc w:val="both"/>
        <w:rPr>
          <w:rFonts w:ascii="Times New Roman" w:hAnsi="Times New Roman" w:cs="Times New Roman"/>
          <w:b/>
          <w:sz w:val="24"/>
          <w:szCs w:val="24"/>
        </w:rPr>
      </w:pPr>
      <w:r w:rsidRPr="002E74F4">
        <w:rPr>
          <w:rFonts w:ascii="Times New Roman" w:hAnsi="Times New Roman" w:cs="Times New Roman"/>
          <w:b/>
          <w:sz w:val="24"/>
          <w:szCs w:val="24"/>
        </w:rPr>
        <w:t>C</w:t>
      </w:r>
      <w:r w:rsidR="00DD7078" w:rsidRPr="002E74F4">
        <w:rPr>
          <w:rFonts w:ascii="Times New Roman" w:hAnsi="Times New Roman" w:cs="Times New Roman"/>
          <w:b/>
          <w:sz w:val="24"/>
          <w:szCs w:val="24"/>
        </w:rPr>
        <w:t>onclusión</w:t>
      </w:r>
    </w:p>
    <w:p w:rsidR="00B628FA" w:rsidRPr="002E74F4" w:rsidRDefault="00B628FA" w:rsidP="002E74F4">
      <w:pPr>
        <w:jc w:val="both"/>
        <w:rPr>
          <w:rFonts w:ascii="Times New Roman" w:hAnsi="Times New Roman" w:cs="Times New Roman"/>
          <w:sz w:val="24"/>
          <w:szCs w:val="24"/>
        </w:rPr>
      </w:pPr>
    </w:p>
    <w:p w:rsidR="00B628FA" w:rsidRPr="002E74F4" w:rsidRDefault="00B628FA" w:rsidP="002E74F4">
      <w:pPr>
        <w:jc w:val="both"/>
        <w:rPr>
          <w:rFonts w:ascii="Times New Roman" w:hAnsi="Times New Roman" w:cs="Times New Roman"/>
          <w:sz w:val="24"/>
          <w:szCs w:val="24"/>
        </w:rPr>
      </w:pPr>
      <w:r w:rsidRPr="002E74F4">
        <w:rPr>
          <w:rFonts w:ascii="Times New Roman" w:hAnsi="Times New Roman" w:cs="Times New Roman"/>
          <w:sz w:val="24"/>
          <w:szCs w:val="24"/>
        </w:rPr>
        <w:t>La organización se enfrenta a riesgos significativos que, si no se manejan de manera adecuada, podrían resultar en pérdidas económicas, sanciones legales y un daño considerable a su reputación. Implementar controles de seguridad, ofrecer capacitación continua al personal y establecer planes de continuidad del negocio y recuperación ante desastres son esenciales para mitigar el impacto de posibles incidentes. Desde una perspectiva tanto académica como práctica, este informe resalta la importancia de integrar el RA y el BIA como herramientas fundamentales para la toma de decisiones estratégicas y la mejora continua de la seguridad en SEGPRO.</w:t>
      </w:r>
    </w:p>
    <w:p w:rsidR="002F129A" w:rsidRPr="002E74F4" w:rsidRDefault="002F129A" w:rsidP="002E74F4">
      <w:pPr>
        <w:jc w:val="both"/>
        <w:rPr>
          <w:rFonts w:ascii="Times New Roman" w:hAnsi="Times New Roman" w:cs="Times New Roman"/>
          <w:sz w:val="24"/>
          <w:szCs w:val="24"/>
        </w:rPr>
      </w:pPr>
    </w:p>
    <w:sectPr w:rsidR="002F129A" w:rsidRPr="002E74F4">
      <w:type w:val="continuous"/>
      <w:pgSz w:w="11910" w:h="16840"/>
      <w:pgMar w:top="8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63D"/>
    <w:rsid w:val="002410C7"/>
    <w:rsid w:val="002E74F4"/>
    <w:rsid w:val="002F129A"/>
    <w:rsid w:val="0034563D"/>
    <w:rsid w:val="008974FC"/>
    <w:rsid w:val="009700BD"/>
    <w:rsid w:val="00B628FA"/>
    <w:rsid w:val="00DD70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7579"/>
  <w15:docId w15:val="{16E64767-3041-4669-8797-9AEE0239B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70"/>
      <w:outlineLvl w:val="0"/>
    </w:pPr>
    <w:rPr>
      <w:rFonts w:ascii="Arial" w:eastAsia="Arial" w:hAnsi="Arial" w:cs="Arial"/>
      <w:b/>
      <w:bCs/>
      <w:sz w:val="36"/>
      <w:szCs w:val="36"/>
    </w:rPr>
  </w:style>
  <w:style w:type="paragraph" w:styleId="Ttulo2">
    <w:name w:val="heading 2"/>
    <w:basedOn w:val="Normal"/>
    <w:uiPriority w:val="1"/>
    <w:qFormat/>
    <w:pPr>
      <w:ind w:left="70"/>
      <w:jc w:val="both"/>
      <w:outlineLvl w:val="1"/>
    </w:pPr>
    <w:rPr>
      <w:rFonts w:ascii="Arial" w:eastAsia="Arial" w:hAnsi="Arial" w:cs="Arial"/>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62"/>
      <w:ind w:left="20"/>
      <w:jc w:val="center"/>
    </w:pPr>
  </w:style>
  <w:style w:type="paragraph" w:styleId="Sinespaciado">
    <w:name w:val="No Spacing"/>
    <w:uiPriority w:val="1"/>
    <w:qFormat/>
    <w:rsid w:val="00B628FA"/>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1183</Words>
  <Characters>6512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(anonymous)</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ISAAC SEBASTIAN PROA�O PANCHI</cp:lastModifiedBy>
  <cp:revision>2</cp:revision>
  <dcterms:created xsi:type="dcterms:W3CDTF">2026-01-12T21:54:00Z</dcterms:created>
  <dcterms:modified xsi:type="dcterms:W3CDTF">2026-01-12T21:54:00Z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(unspecified)</vt:lpwstr>
  </property>
  <property fmtid="{D5CDD505-2E9C-101B-9397-08002B2CF9AE}" pid="4" name="LastSaved">
    <vt:filetime>2026-01-12T00:00:00Z</vt:filetime>
  </property>
  <property fmtid="{D5CDD505-2E9C-101B-9397-08002B2CF9AE}" pid="5" name="Producer">
    <vt:lpwstr>ReportLab PDF Library - www.reportlab.com</vt:lpwstr>
  </property>
</Properties>
</file>