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ayout w:type="fixed"/>
        <w:tblLook w:firstColumn="1" w:firstRow="1" w:lastColumn="0" w:lastRow="0" w:noHBand="0" w:noVBand="1" w:val="04A0"/>
      </w:tblPr>
      <w:tblGrid>
        <w:gridCol w:w="10166"/>
      </w:tblGrid>
      <w:tr>
        <w:tc>
          <w:tcPr>
            <w:tcW w:type="dxa" w:w="9720"/>
            <w:tcMar>
              <w:top w:w="160" w:type="dxa"/>
              <w:start w:w="220" w:type="dxa"/>
              <w:bottom w:w="160" w:type="dxa"/>
              <w:end w:w="220" w:type="dxa"/>
            </w:tcMar>
            <w:tcBorders>
              <w:top w:val="nil"/>
              <w:left w:val="nil"/>
              <w:bottom w:val="nil"/>
              <w:right w:val="nil"/>
            </w:tcBorders>
            <w:shd w:fill="D6A84B"/>
          </w:tcPr>
          <w:p/>
        </w:tc>
      </w:tr>
      <w:tr>
        <w:tc>
          <w:tcPr>
            <w:tcW w:type="dxa" w:w="9720"/>
            <w:tcMar>
              <w:top w:w="160" w:type="dxa"/>
              <w:start w:w="220" w:type="dxa"/>
              <w:bottom w:w="160" w:type="dxa"/>
              <w:end w:w="220" w:type="dxa"/>
            </w:tcMar>
            <w:tcBorders>
              <w:top w:val="nil"/>
              <w:left w:val="nil"/>
              <w:bottom w:val="nil"/>
              <w:right w:val="nil"/>
            </w:tcBorders>
            <w:shd w:fill="123B5D"/>
          </w:tcPr>
          <w:p>
            <w:pPr>
              <w:spacing w:after="160"/>
              <w:jc w:val="center"/>
            </w:pPr>
            <w:r>
              <w:rPr>
                <w:rFonts w:ascii="Arial" w:hAnsi="Arial" w:eastAsia="Arial"/>
                <w:b/>
                <w:i w:val="0"/>
                <w:color w:val="FFFFFF"/>
                <w:sz w:val="28"/>
              </w:rPr>
              <w:t>SOLICITUD INTEGRAL EN DOS FASES</w:t>
            </w:r>
          </w:p>
          <w:p>
            <w:pPr>
              <w:spacing w:after="200"/>
              <w:jc w:val="center"/>
            </w:pPr>
            <w:r>
              <w:rPr>
                <w:rFonts w:ascii="Arial" w:hAnsi="Arial" w:eastAsia="Arial"/>
                <w:b/>
                <w:i w:val="0"/>
                <w:color w:val="FFFFFF"/>
                <w:sz w:val="42"/>
              </w:rPr>
              <w:t>Reestructuración del módulo de tickets de soporte técnico</w:t>
            </w:r>
          </w:p>
          <w:p>
            <w:pPr>
              <w:spacing w:after="80"/>
              <w:jc w:val="center"/>
            </w:pPr>
            <w:r>
              <w:rPr>
                <w:rFonts w:ascii="Arial" w:hAnsi="Arial" w:eastAsia="Arial"/>
                <w:b/>
                <w:i w:val="0"/>
                <w:color w:val="DDEEF3"/>
                <w:sz w:val="32"/>
              </w:rPr>
              <w:t>e integración por API con ColombiaNetDiagnostico</w:t>
            </w:r>
          </w:p>
          <w:p>
            <w:pPr>
              <w:spacing w:before="180" w:after="0"/>
              <w:jc w:val="center"/>
            </w:pPr>
            <w:r>
              <w:rPr>
                <w:rFonts w:ascii="Arial" w:hAnsi="Arial" w:eastAsia="Arial"/>
                <w:b w:val="0"/>
                <w:i/>
                <w:color w:val="F2F7F9"/>
                <w:sz w:val="21"/>
              </w:rPr>
              <w:t>Alcance exclusivo: soporte técnico de servicios existentes</w:t>
            </w:r>
          </w:p>
        </w:tc>
      </w:tr>
      <w:tr>
        <w:tc>
          <w:tcPr>
            <w:tcW w:type="dxa" w:w="9720"/>
            <w:tcMar>
              <w:top w:w="160" w:type="dxa"/>
              <w:start w:w="220" w:type="dxa"/>
              <w:bottom w:w="160" w:type="dxa"/>
              <w:end w:w="220" w:type="dxa"/>
            </w:tcMar>
            <w:tcBorders>
              <w:top w:val="nil"/>
              <w:left w:val="nil"/>
              <w:bottom w:val="nil"/>
              <w:right w:val="nil"/>
            </w:tcBorders>
            <w:shd w:fill="EAF3F7"/>
          </w:tcPr>
          <w:p>
            <w:pPr>
              <w:spacing w:after="40"/>
              <w:jc w:val="center"/>
            </w:pPr>
            <w:r>
              <w:rPr>
                <w:rFonts w:ascii="Arial" w:hAnsi="Arial" w:eastAsia="Arial"/>
                <w:b/>
                <w:i w:val="0"/>
                <w:color w:val="123B5D"/>
                <w:sz w:val="23"/>
              </w:rPr>
              <w:t>Colombia Net de Occidente S.A.S. – Sede Chaguaní</w:t>
            </w:r>
          </w:p>
          <w:p>
            <w:pPr>
              <w:spacing w:after="40"/>
              <w:jc w:val="center"/>
            </w:pPr>
            <w:r>
              <w:rPr>
                <w:rFonts w:ascii="Arial" w:hAnsi="Arial" w:eastAsia="Arial"/>
                <w:b w:val="0"/>
                <w:i w:val="0"/>
                <w:color w:val="1F6F78"/>
                <w:sz w:val="20"/>
              </w:rPr>
              <w:t>Documento funcional y técnico · Versión 1.1</w:t>
            </w:r>
          </w:p>
          <w:p>
            <w:pPr>
              <w:spacing w:after="0"/>
              <w:jc w:val="center"/>
            </w:pPr>
            <w:r>
              <w:rPr>
                <w:rFonts w:ascii="Arial" w:hAnsi="Arial" w:eastAsia="Arial"/>
                <w:b w:val="0"/>
                <w:i w:val="0"/>
                <w:color w:val="3D4A52"/>
                <w:sz w:val="20"/>
              </w:rPr>
              <w:t>Chaguaní, 10 de agosto de 2026</w:t>
            </w:r>
          </w:p>
        </w:tc>
      </w:tr>
    </w:tbl>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Código</w:t>
            </w:r>
          </w:p>
        </w:tc>
        <w:tc>
          <w:tcPr>
            <w:tcW w:type="dxa" w:w="1007"/>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Versión</w:t>
            </w:r>
          </w:p>
        </w:tc>
        <w:tc>
          <w:tcPr>
            <w:tcW w:type="dxa" w:w="2448"/>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Estado</w:t>
            </w:r>
          </w:p>
        </w:tc>
        <w:tc>
          <w:tcPr>
            <w:tcW w:type="dxa" w:w="4176"/>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Responsable</w:t>
            </w:r>
          </w:p>
        </w:tc>
      </w:tr>
      <w:tr>
        <w:trPr>
          <w:cantSplit/>
        </w:trPr>
        <w:tc>
          <w:tcPr>
            <w:tcW w:type="dxa" w:w="20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CNO-ISPWASH-ST-API</w:t>
            </w:r>
          </w:p>
        </w:tc>
        <w:tc>
          <w:tcPr>
            <w:tcW w:type="dxa" w:w="1007"/>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1.1</w:t>
            </w:r>
          </w:p>
        </w:tc>
        <w:tc>
          <w:tcPr>
            <w:tcW w:type="dxa" w:w="244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Para evaluación de ISPwash</w:t>
            </w:r>
          </w:p>
        </w:tc>
        <w:tc>
          <w:tcPr>
            <w:tcW w:type="dxa" w:w="41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Gerencia Regional – Colombia Net de Occidente</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720"/>
            <w:shd w:fill="E8F3F3"/>
            <w:tcMar>
              <w:top w:w="130" w:type="dxa"/>
              <w:start w:w="160" w:type="dxa"/>
              <w:bottom w:w="130" w:type="dxa"/>
              <w:end w:w="160" w:type="dxa"/>
            </w:tcMar>
            <w:tcBorders>
              <w:top w:val="single" w:sz="8" w:color="1F6F78"/>
              <w:left w:val="single" w:sz="12" w:color="1F6F78"/>
              <w:bottom w:val="single" w:sz="4" w:color="C6D5DC"/>
              <w:right w:val="single" w:sz="4" w:color="C6D5DC"/>
            </w:tcBorders>
          </w:tcPr>
          <w:p>
            <w:r>
              <w:rPr>
                <w:rFonts w:ascii="Arial" w:hAnsi="Arial" w:eastAsia="Arial"/>
                <w:b/>
                <w:sz w:val="20"/>
              </w:rPr>
              <w:t>DECISIÓN DE ESTRUCTURA</w:t>
            </w:r>
            <w:r>
              <w:rPr>
                <w:rFonts w:ascii="Arial" w:hAnsi="Arial" w:eastAsia="Arial"/>
                <w:b w:val="0"/>
                <w:sz w:val="18"/>
              </w:rPr>
              <w:br/>
              <w:t>El alcance se conserva como dos solicitudes y dos paquetes de trabajo independientes: (1) reestructuración funcional del ticket de soporte y (2) integración API. La Solicitud 2 se divide operativamente en 2A, entrega y análisis del contrato oficial API/OpenAPI, que puede iniciar de inmediato y en paralelo con la Solicitud 1; y 2B, integración operativa, que se implementará después de aprobar y versionar el modelo funcional del ticket. ISPwash deberá responder, cotizar y planificar cada paquete por separado.</w:t>
            </w:r>
          </w:p>
        </w:tc>
      </w:tr>
    </w:tbl>
    <w:p>
      <w:pPr>
        <w:spacing w:after="20"/>
      </w:pPr>
    </w:p>
    <w:p>
      <w:r>
        <w:br w:type="page"/>
      </w:r>
    </w:p>
    <w:p>
      <w:pPr>
        <w:pStyle w:val="Heading1"/>
        <w:keepNext/>
        <w:spacing w:before="200" w:after="100"/>
      </w:pPr>
      <w:r>
        <w:rPr>
          <w:rFonts w:ascii="Arial" w:hAnsi="Arial" w:eastAsia="Arial"/>
          <w:b/>
          <w:color w:val="123B5D"/>
          <w:sz w:val="30"/>
        </w:rPr>
        <w:t>Control del documento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Elemento</w:t>
            </w:r>
          </w:p>
        </w:tc>
        <w:tc>
          <w:tcPr>
            <w:tcW w:type="dxa" w:w="7632"/>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Definición</w:t>
            </w:r>
          </w:p>
        </w:tc>
      </w:tr>
      <w:tr>
        <w:trPr>
          <w:cantSplit/>
        </w:trPr>
        <w:tc>
          <w:tcPr>
            <w:tcW w:type="dxa" w:w="20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Objeto</w:t>
            </w:r>
          </w:p>
        </w:tc>
        <w:tc>
          <w:tcPr>
            <w:tcW w:type="dxa" w:w="76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Solicitar a ISPwash la reestructuración del módulo de tickets de soporte técnico y preparar su integración por API con ColombiaNetDiagnostico mediante una subfase contractual inmediata y una subfase operativa posterior.</w:t>
            </w:r>
          </w:p>
        </w:tc>
      </w:tr>
      <w:tr>
        <w:trPr>
          <w:cantSplit/>
        </w:trPr>
        <w:tc>
          <w:tcPr>
            <w:tcW w:type="dxa" w:w="20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Alcance funcional</w:t>
            </w:r>
          </w:p>
        </w:tc>
        <w:tc>
          <w:tcPr>
            <w:tcW w:type="dxa" w:w="76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Únicamente soporte técnico sobre servicios existentes.</w:t>
            </w:r>
          </w:p>
        </w:tc>
      </w:tr>
      <w:tr>
        <w:trPr>
          <w:cantSplit/>
        </w:trPr>
        <w:tc>
          <w:tcPr>
            <w:tcW w:type="dxa" w:w="20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Exclusiones</w:t>
            </w:r>
          </w:p>
        </w:tc>
        <w:tc>
          <w:tcPr>
            <w:tcW w:type="dxa" w:w="76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Instalaciones, traslados, retiros, ventas, cartera, facturación, cambios de titular, proyectos de ampliación y mantenimientos preventivos sin afectación.</w:t>
            </w:r>
          </w:p>
        </w:tc>
      </w:tr>
      <w:tr>
        <w:trPr>
          <w:cantSplit/>
        </w:trPr>
        <w:tc>
          <w:tcPr>
            <w:tcW w:type="dxa" w:w="20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Sistema maestro</w:t>
            </w:r>
          </w:p>
        </w:tc>
        <w:tc>
          <w:tcPr>
            <w:tcW w:type="dxa" w:w="76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ISPwash será el único expediente y consecutivo oficial del ticket.</w:t>
            </w:r>
          </w:p>
        </w:tc>
      </w:tr>
      <w:tr>
        <w:trPr>
          <w:cantSplit/>
        </w:trPr>
        <w:tc>
          <w:tcPr>
            <w:tcW w:type="dxa" w:w="20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Sistema técnico</w:t>
            </w:r>
          </w:p>
        </w:tc>
        <w:tc>
          <w:tcPr>
            <w:tcW w:type="dxa" w:w="76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ColombiaNetDiagnostico ejecutará diagnósticos, conservará evidencia técnica, correlacionará infraestructura e incidentes y devolverá resultados por API.</w:t>
            </w:r>
          </w:p>
        </w:tc>
      </w:tr>
      <w:tr>
        <w:trPr>
          <w:cantSplit/>
        </w:trPr>
        <w:tc>
          <w:tcPr>
            <w:tcW w:type="dxa" w:w="20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Secuencia</w:t>
            </w:r>
          </w:p>
        </w:tc>
        <w:tc>
          <w:tcPr>
            <w:tcW w:type="dxa" w:w="76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Solicitud 1 funcional y Solicitud 2A contractual en paralelo → aprobación y congelación de catálogos/estados → mapeo CNO ↔ ISPwash → Solicitud 2B en modo lectura → escritura controlada → piloto → producción.</w:t>
            </w:r>
          </w:p>
        </w:tc>
      </w:tr>
    </w:tbl>
    <w:p>
      <w:pPr>
        <w:spacing w:after="20"/>
      </w:pPr>
    </w:p>
    <w:p>
      <w:pPr>
        <w:pStyle w:val="Heading1"/>
        <w:keepNext/>
        <w:spacing w:before="200" w:after="100"/>
      </w:pPr>
      <w:r>
        <w:rPr>
          <w:rFonts w:ascii="Arial" w:hAnsi="Arial" w:eastAsia="Arial"/>
          <w:b/>
          <w:color w:val="123B5D"/>
          <w:sz w:val="30"/>
        </w:rPr>
        <w:t>Contenido</w:t>
      </w:r>
    </w:p>
    <w:p>
      <w:pPr>
        <w:pStyle w:val="ListBullet"/>
        <w:spacing w:after="40" w:line="254" w:lineRule="auto"/>
      </w:pPr>
      <w:r>
        <w:rPr>
          <w:rFonts w:ascii="Arial" w:hAnsi="Arial" w:eastAsia="Arial"/>
          <w:b w:val="0"/>
          <w:i w:val="0"/>
          <w:color w:val="3D4A52"/>
          <w:sz w:val="21"/>
        </w:rPr>
        <w:t>Carta formal de solicitud</w:t>
      </w:r>
    </w:p>
    <w:p>
      <w:pPr>
        <w:pStyle w:val="ListBullet"/>
        <w:spacing w:after="40" w:line="254" w:lineRule="auto"/>
      </w:pPr>
      <w:r>
        <w:rPr>
          <w:rFonts w:ascii="Arial" w:hAnsi="Arial" w:eastAsia="Arial"/>
          <w:b w:val="0"/>
          <w:i w:val="0"/>
          <w:color w:val="3D4A52"/>
          <w:sz w:val="21"/>
        </w:rPr>
        <w:t>Decisión ejecutiva y relación entre las dos solicitudes</w:t>
      </w:r>
    </w:p>
    <w:p>
      <w:pPr>
        <w:pStyle w:val="ListBullet"/>
        <w:spacing w:after="40" w:line="254" w:lineRule="auto"/>
      </w:pPr>
      <w:r>
        <w:rPr>
          <w:rFonts w:ascii="Arial" w:hAnsi="Arial" w:eastAsia="Arial"/>
          <w:b w:val="0"/>
          <w:i w:val="0"/>
          <w:color w:val="3D4A52"/>
          <w:sz w:val="21"/>
        </w:rPr>
        <w:t>Solicitud 1 – Reestructuración del módulo de tickets de soporte técnico</w:t>
      </w:r>
    </w:p>
    <w:p>
      <w:pPr>
        <w:pStyle w:val="ListBullet"/>
        <w:spacing w:after="40" w:line="254" w:lineRule="auto"/>
      </w:pPr>
      <w:r>
        <w:rPr>
          <w:rFonts w:ascii="Arial" w:hAnsi="Arial" w:eastAsia="Arial"/>
          <w:b w:val="0"/>
          <w:i w:val="0"/>
          <w:color w:val="3D4A52"/>
          <w:sz w:val="21"/>
        </w:rPr>
        <w:t>Solicitud 2 – Integración API con ColombiaNetDiagnostico</w:t>
      </w:r>
    </w:p>
    <w:p>
      <w:pPr>
        <w:pStyle w:val="ListBullet"/>
      </w:pPr>
      <w:r>
        <w:t>Estado de preparación de CNO y subfases 2A/2B</w:t>
      </w:r>
    </w:p>
    <w:p>
      <w:pPr>
        <w:pStyle w:val="ListBullet"/>
        <w:spacing w:after="40" w:line="254" w:lineRule="auto"/>
      </w:pPr>
      <w:r>
        <w:rPr>
          <w:rFonts w:ascii="Arial" w:hAnsi="Arial" w:eastAsia="Arial"/>
          <w:b w:val="0"/>
          <w:i w:val="0"/>
          <w:color w:val="3D4A52"/>
          <w:sz w:val="21"/>
        </w:rPr>
        <w:t>Secuencia de ejecución y entregables requeridos</w:t>
      </w:r>
    </w:p>
    <w:p>
      <w:pPr>
        <w:pStyle w:val="ListBullet"/>
        <w:spacing w:after="40" w:line="254" w:lineRule="auto"/>
      </w:pPr>
      <w:r>
        <w:rPr>
          <w:rFonts w:ascii="Arial" w:hAnsi="Arial" w:eastAsia="Arial"/>
          <w:b w:val="0"/>
          <w:i w:val="0"/>
          <w:color w:val="3D4A52"/>
          <w:sz w:val="21"/>
        </w:rPr>
        <w:t>Matriz consolidada de respuesta para ISPwash</w:t>
      </w:r>
    </w:p>
    <w:p>
      <w:pPr>
        <w:pStyle w:val="ListBullet"/>
        <w:spacing w:after="40" w:line="254" w:lineRule="auto"/>
      </w:pPr>
      <w:r>
        <w:rPr>
          <w:rFonts w:ascii="Arial" w:hAnsi="Arial" w:eastAsia="Arial"/>
          <w:b w:val="0"/>
          <w:i w:val="0"/>
          <w:color w:val="3D4A52"/>
          <w:sz w:val="21"/>
        </w:rPr>
        <w:t>Anexos de catálogos y ejemplos de intercambio</w:t>
      </w:r>
    </w:p>
    <w:tbl>
      <w:tblPr>
        <w:tblW w:type="auto" w:w="0"/>
        <w:jc w:val="center"/>
        <w:tblLayout w:type="fixed"/>
        <w:tblLook w:firstColumn="1" w:firstRow="1" w:lastColumn="0" w:lastRow="0" w:noHBand="0" w:noVBand="1" w:val="04A0"/>
      </w:tblPr>
      <w:tblGrid>
        <w:gridCol w:w="10166"/>
      </w:tblGrid>
      <w:tr>
        <w:tc>
          <w:tcPr>
            <w:tcW w:type="dxa" w:w="9720"/>
            <w:shd w:fill="FFF6E5"/>
            <w:tcMar>
              <w:top w:w="130" w:type="dxa"/>
              <w:start w:w="160" w:type="dxa"/>
              <w:bottom w:w="130" w:type="dxa"/>
              <w:end w:w="160" w:type="dxa"/>
            </w:tcMar>
            <w:tcBorders>
              <w:top w:val="single" w:sz="8" w:color="8A6322"/>
              <w:left w:val="single" w:sz="12" w:color="8A6322"/>
              <w:bottom w:val="single" w:sz="4" w:color="C6D5DC"/>
              <w:right w:val="single" w:sz="4" w:color="C6D5DC"/>
            </w:tcBorders>
          </w:tcPr>
          <w:p>
            <w:pPr>
              <w:spacing w:after="40"/>
            </w:pPr>
            <w:r>
              <w:rPr>
                <w:rFonts w:ascii="Arial" w:hAnsi="Arial" w:eastAsia="Arial"/>
                <w:b/>
                <w:i w:val="0"/>
                <w:color w:val="8A6322"/>
                <w:sz w:val="21"/>
              </w:rPr>
              <w:t>ACLARACIÓN DE ALCANCE</w:t>
            </w:r>
          </w:p>
          <w:p>
            <w:pPr>
              <w:spacing w:after="0" w:line="259" w:lineRule="auto"/>
            </w:pPr>
            <w:r>
              <w:rPr>
                <w:rFonts w:ascii="Arial" w:hAnsi="Arial" w:eastAsia="Arial"/>
                <w:b w:val="0"/>
                <w:i w:val="0"/>
                <w:color w:val="3D4A52"/>
                <w:sz w:val="20"/>
              </w:rPr>
              <w:t>Todo lo descrito en este documento se refiere a soporte técnico. Un reemplazo correctivo de CPE, ONU, PoE, cable, router en comodato o conector puede formar parte del soporte; una instalación nueva, un traslado, un retiro o una ampliación debe continuar en su proceso independiente.</w:t>
            </w:r>
          </w:p>
        </w:tc>
      </w:tr>
    </w:tbl>
    <w:p>
      <w:pPr>
        <w:spacing w:after="20"/>
      </w:pPr>
    </w:p>
    <w:p>
      <w:r>
        <w:br w:type="page"/>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pPr>
              <w:jc w:val="center"/>
            </w:pPr>
            <w:r>
              <w:rPr>
                <w:rFonts w:ascii="Arial" w:hAnsi="Arial" w:eastAsia="Arial"/>
                <w:b/>
                <w:i w:val="0"/>
                <w:color w:val="FFFFFF"/>
                <w:sz w:val="22"/>
              </w:rPr>
              <w:t>CARTA FORMAL DE SOLICITUD</w:t>
            </w:r>
          </w:p>
        </w:tc>
      </w:tr>
    </w:tbl>
    <w:p>
      <w:pPr>
        <w:spacing w:after="20"/>
      </w:pPr>
    </w:p>
    <w:p>
      <w:pPr>
        <w:keepNext w:val="0"/>
        <w:spacing w:after="200" w:line="269" w:lineRule="auto"/>
        <w:jc w:val="right"/>
      </w:pPr>
      <w:r>
        <w:rPr>
          <w:rFonts w:ascii="Arial" w:hAnsi="Arial" w:eastAsia="Arial"/>
          <w:b w:val="0"/>
          <w:i w:val="0"/>
          <w:color w:val="3D4A52"/>
          <w:sz w:val="21"/>
        </w:rPr>
        <w:t>Chaguaní, 10 de agosto de 2026</w:t>
      </w:r>
    </w:p>
    <w:p>
      <w:pPr>
        <w:keepNext w:val="0"/>
        <w:spacing w:after="100" w:line="269" w:lineRule="auto"/>
      </w:pPr>
      <w:r>
        <w:rPr>
          <w:rFonts w:ascii="Arial" w:hAnsi="Arial" w:eastAsia="Arial"/>
          <w:b/>
          <w:i w:val="0"/>
          <w:color w:val="3D4A52"/>
          <w:sz w:val="21"/>
        </w:rPr>
        <w:t>Señores</w:t>
      </w:r>
      <w:r>
        <w:rPr>
          <w:rFonts w:ascii="Arial" w:hAnsi="Arial" w:eastAsia="Arial"/>
          <w:b w:val="0"/>
          <w:i w:val="0"/>
          <w:color w:val="3D4A52"/>
          <w:sz w:val="21"/>
        </w:rPr>
      </w:r>
    </w:p>
    <w:p>
      <w:pPr>
        <w:spacing w:after="0"/>
      </w:pPr>
      <w:r>
        <w:rPr>
          <w:rFonts w:ascii="Arial" w:hAnsi="Arial" w:eastAsia="Arial"/>
          <w:b/>
          <w:i w:val="0"/>
          <w:color w:val="123B5D"/>
          <w:sz w:val="22"/>
        </w:rPr>
        <w:t>ISPWASH</w:t>
      </w:r>
    </w:p>
    <w:p>
      <w:pPr>
        <w:spacing w:after="160"/>
      </w:pPr>
      <w:r>
        <w:rPr>
          <w:rFonts w:ascii="Arial" w:hAnsi="Arial" w:eastAsia="Arial"/>
          <w:b w:val="0"/>
          <w:i w:val="0"/>
          <w:color w:val="3D4A52"/>
          <w:sz w:val="21"/>
        </w:rPr>
        <w:t>Equipo de Producto, Soporte e Integraciones</w:t>
      </w:r>
    </w:p>
    <w:p>
      <w:pPr>
        <w:spacing w:after="200"/>
      </w:pPr>
      <w:r>
        <w:rPr>
          <w:rFonts w:ascii="Arial" w:hAnsi="Arial" w:eastAsia="Arial"/>
          <w:b/>
          <w:i w:val="0"/>
          <w:color w:val="123B5D"/>
          <w:sz w:val="21"/>
        </w:rPr>
        <w:t xml:space="preserve">Asunto: </w:t>
      </w:r>
      <w:r>
        <w:rPr>
          <w:rFonts w:ascii="Arial" w:hAnsi="Arial" w:eastAsia="Arial"/>
          <w:b w:val="0"/>
          <w:i w:val="0"/>
          <w:color w:val="3D4A52"/>
          <w:sz w:val="21"/>
        </w:rPr>
        <w:t>Solicitud en dos fases para reestructurar el módulo de tickets de soporte técnico e integrarlo por API con ColombiaNetDiagnostico.</w:t>
      </w:r>
    </w:p>
    <w:p>
      <w:pPr>
        <w:keepNext w:val="0"/>
        <w:spacing w:after="100" w:line="269" w:lineRule="auto"/>
      </w:pPr>
      <w:r>
        <w:rPr>
          <w:rFonts w:ascii="Arial" w:hAnsi="Arial" w:eastAsia="Arial"/>
          <w:b w:val="0"/>
          <w:i w:val="0"/>
          <w:color w:val="3D4A52"/>
          <w:sz w:val="21"/>
        </w:rPr>
        <w:t>Colombia Net de Occidente S.A.S., sede Chaguaní, solicita formalmente evaluar y desarrollar una evolución del módulo de tickets de ISPwash orientada exclusivamente al soporte técnico de servicios existentes. El propósito no es utilizar el ticket solamente como constancia de una atención, sino convertirlo en un expediente técnico estructurado que permita diagnosticar, medir tiempos, identificar causas raíz, analizar reincidencias, correlacionar fallas con la infraestructura y orientar decisiones de mantenimiento e inversión.</w:t>
      </w:r>
    </w:p>
    <w:p>
      <w:pPr>
        <w:keepNext w:val="0"/>
        <w:spacing w:after="100" w:line="269" w:lineRule="auto"/>
      </w:pPr>
      <w:r>
        <w:t>Consideramos necesario dividir el alcance en dos solicitudes vinculadas. La primera corresponde a la reestructuración funcional del ticket: campos, catálogos, estados, reglas de cierre, incidentes masivos, evidencias, métricas y trazabilidad. La segunda corresponde a la integración por API con ColombiaNetDiagnostico y se ejecutará en dos subfases: 2A, recepción y análisis del contrato oficial API/OpenAPI de ISPwash; y 2B, integración operativa para consultar el servicio, ejecutar diagnósticos y devolver resultados estructurados al único ticket oficial de ISPwash.</w:t>
      </w:r>
    </w:p>
    <w:p>
      <w:pPr>
        <w:keepNext w:val="0"/>
        <w:spacing w:after="100" w:line="269" w:lineRule="auto"/>
      </w:pPr>
      <w:r>
        <w:t>Solicitamos que ambas solicitudes sean evaluadas desde el inicio. La entrega del contrato oficial y sanitizado de la API (Subfase 2A) puede comenzar inmediatamente y en paralelo con el rediseño funcional. Sin embargo, el mapeo definitivo de campos y cualquier escritura operativa de la Subfase 2B deberán apoyarse en el modelo de ticket aprobado y versionado en la Solicitud 1. Requerimos respuesta, alcance, costos, dependencias y propuesta de ejecución separados.</w:t>
      </w:r>
    </w:p>
    <w:p>
      <w:pPr>
        <w:keepNext w:val="0"/>
        <w:spacing w:after="100" w:line="269" w:lineRule="auto"/>
      </w:pPr>
      <w:r>
        <w:rPr>
          <w:rFonts w:ascii="Arial" w:hAnsi="Arial" w:eastAsia="Arial"/>
          <w:b w:val="0"/>
          <w:i w:val="0"/>
          <w:color w:val="3D4A52"/>
          <w:sz w:val="21"/>
        </w:rPr>
        <w:t>El presente documento contiene la especificación funcional, técnica y los criterios de aceptación esperados. Agradecemos responder la matriz consolidada indicando qué capacidades están disponibles actualmente, cuáles se habilitan mediante configuración, cuáles requieren desarrollo y qué alternativas propone ISPwash cuando un requisito no esté soportado.</w:t>
      </w:r>
    </w:p>
    <w:p/>
    <w:p>
      <w:pPr>
        <w:spacing w:before="240" w:after="20"/>
      </w:pPr>
      <w:r>
        <w:rPr>
          <w:rFonts w:ascii="Arial" w:hAnsi="Arial" w:eastAsia="Arial"/>
          <w:b w:val="0"/>
          <w:i w:val="0"/>
          <w:color w:val="3D4A52"/>
          <w:sz w:val="21"/>
        </w:rPr>
        <w:t>Atentamente,</w:t>
      </w:r>
    </w:p>
    <w:p/>
    <w:p/>
    <w:p/>
    <w:p>
      <w:pPr>
        <w:spacing w:after="0"/>
      </w:pPr>
      <w:r>
        <w:rPr>
          <w:rFonts w:ascii="Arial" w:hAnsi="Arial" w:eastAsia="Arial"/>
          <w:b/>
          <w:i w:val="0"/>
          <w:color w:val="123B5D"/>
          <w:sz w:val="21"/>
        </w:rPr>
        <w:t>Joseh</w:t>
      </w:r>
    </w:p>
    <w:p>
      <w:pPr>
        <w:spacing w:after="0"/>
      </w:pPr>
      <w:r>
        <w:rPr>
          <w:rFonts w:ascii="Arial" w:hAnsi="Arial" w:eastAsia="Arial"/>
          <w:b w:val="0"/>
          <w:i w:val="0"/>
          <w:color w:val="3D4A52"/>
          <w:sz w:val="20"/>
        </w:rPr>
        <w:t>Gerente Regional – Sede Chaguaní</w:t>
      </w:r>
    </w:p>
    <w:p>
      <w:pPr>
        <w:spacing w:after="0"/>
      </w:pPr>
      <w:r>
        <w:rPr>
          <w:rFonts w:ascii="Arial" w:hAnsi="Arial" w:eastAsia="Arial"/>
          <w:b w:val="0"/>
          <w:i w:val="0"/>
          <w:color w:val="3D4A52"/>
          <w:sz w:val="20"/>
        </w:rPr>
        <w:t>Colombia Net de Occidente S.A.S.</w:t>
      </w:r>
    </w:p>
    <w:p>
      <w:r>
        <w:br w:type="page"/>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pPr>
              <w:jc w:val="center"/>
            </w:pPr>
            <w:r>
              <w:rPr>
                <w:rFonts w:ascii="Arial" w:hAnsi="Arial" w:eastAsia="Arial"/>
                <w:b/>
                <w:i w:val="0"/>
                <w:color w:val="FFFFFF"/>
                <w:sz w:val="22"/>
              </w:rPr>
              <w:t>DECISIÓN EJECUTIVA Y RELACIÓN ENTRE LAS SOLICITUDES</w:t>
            </w:r>
          </w:p>
        </w:tc>
      </w:tr>
    </w:tbl>
    <w:p>
      <w:pPr>
        <w:spacing w:after="20"/>
      </w:pPr>
    </w:p>
    <w:p>
      <w:pPr>
        <w:pStyle w:val="Heading1"/>
        <w:keepNext/>
        <w:spacing w:before="200" w:after="100"/>
      </w:pPr>
      <w:r>
        <w:rPr>
          <w:rFonts w:ascii="Arial" w:hAnsi="Arial" w:eastAsia="Arial"/>
          <w:b/>
          <w:color w:val="123B5D"/>
          <w:sz w:val="30"/>
        </w:rPr>
        <w:t>1. Por qué deben existir dos solicitudes</w:t>
      </w:r>
    </w:p>
    <w:p>
      <w:pPr>
        <w:keepNext w:val="0"/>
        <w:spacing w:after="100" w:line="269" w:lineRule="auto"/>
      </w:pPr>
      <w:r>
        <w:rPr>
          <w:rFonts w:ascii="Arial" w:hAnsi="Arial" w:eastAsia="Arial"/>
          <w:b w:val="0"/>
          <w:i w:val="0"/>
          <w:color w:val="3D4A52"/>
          <w:sz w:val="21"/>
        </w:rPr>
        <w:t>Sí, son necesarias dos solicitudes porque resuelven problemas diferentes y tienen dependencias distintas: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Solicitud</w:t>
            </w:r>
          </w:p>
        </w:tc>
        <w:tc>
          <w:tcPr>
            <w:tcW w:type="dxa" w:w="2951"/>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Problema que resuelve</w:t>
            </w:r>
          </w:p>
        </w:tc>
        <w:tc>
          <w:tcPr>
            <w:tcW w:type="dxa" w:w="309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Resultado esperado</w:t>
            </w:r>
          </w:p>
        </w:tc>
        <w:tc>
          <w:tcPr>
            <w:tcW w:type="dxa" w:w="172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Dependencia</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1. Reestructuración de tickets</w:t>
            </w:r>
          </w:p>
        </w:tc>
        <w:tc>
          <w:tcPr>
            <w:tcW w:type="dxa" w:w="2951"/>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El ticket actual debe convertirse en un expediente técnico estructurado y estadísticamente útil.</w:t>
            </w:r>
          </w:p>
        </w:tc>
        <w:tc>
          <w:tcPr>
            <w:tcW w:type="dxa" w:w="30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Flujo, campos, catálogos, estados, evidencias, incidentes, reglas de cierre y reportes definidos.</w:t>
            </w:r>
          </w:p>
        </w:tc>
        <w:tc>
          <w:tcPr>
            <w:tcW w:type="dxa" w:w="172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Es la base funcional.</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2. Integración API (2A/2B)</w:t>
            </w:r>
          </w:p>
        </w:tc>
        <w:tc>
          <w:tcPr>
            <w:tcW w:type="dxa" w:w="2951"/>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La plataforma necesita conocer primero el contrato real del proveedor y luego leer y enriquecer el expediente sin crear un ticket paralelo.</w:t>
            </w:r>
          </w:p>
        </w:tc>
        <w:tc>
          <w:tcPr>
            <w:tcW w:type="dxa" w:w="30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2A: OpenAPI, autenticación, identificadores, catálogos y sandbox. 2B: lectura incremental, diagnósticos, evidencias, auditoría e idempotencia.</w:t>
            </w:r>
          </w:p>
        </w:tc>
        <w:tc>
          <w:tcPr>
            <w:tcW w:type="dxa" w:w="172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2A puede iniciar de inmediato; 2B depende de la aprobación de la Solicitud 1 y del mapeo contractual validado.</w:t>
            </w:r>
          </w:p>
        </w:tc>
      </w:tr>
    </w:tbl>
    <w:p>
      <w:pPr>
        <w:spacing w:after="20"/>
      </w:pPr>
    </w:p>
    <w:p>
      <w:pPr>
        <w:pStyle w:val="Heading1"/>
        <w:keepNext/>
        <w:spacing w:before="200" w:after="100"/>
      </w:pPr>
      <w:r>
        <w:rPr>
          <w:rFonts w:ascii="Arial" w:hAnsi="Arial" w:eastAsia="Arial"/>
          <w:b/>
          <w:color w:val="123B5D"/>
          <w:sz w:val="30"/>
        </w:rPr>
        <w:t>2. Recomendación de presentación</w:t>
      </w:r>
    </w:p>
    <w:p>
      <w:pPr>
        <w:keepNext w:val="0"/>
        <w:spacing w:after="100" w:line="269" w:lineRule="auto"/>
      </w:pPr>
      <w:r>
        <w:rPr>
          <w:rFonts w:ascii="Arial" w:hAnsi="Arial"/>
          <w:b w:val="0"/>
          <w:color w:val="3D4A52"/>
          <w:sz w:val="21"/>
        </w:rPr>
        <w:t xml:space="preserve">La recomendación profesional es enviar </w:t>
      </w:r>
      <w:r>
        <w:rPr>
          <w:rFonts w:ascii="Arial" w:hAnsi="Arial"/>
          <w:b/>
          <w:color w:val="3D4A52"/>
          <w:sz w:val="21"/>
        </w:rPr>
        <w:t>un documento maestro</w:t>
      </w:r>
      <w:r>
        <w:rPr>
          <w:rFonts w:ascii="Arial" w:hAnsi="Arial"/>
          <w:b w:val="0"/>
          <w:color w:val="3D4A52"/>
          <w:sz w:val="21"/>
        </w:rPr>
        <w:t xml:space="preserve"> para que ISPwash comprenda el objetivo completo, pero exigir:</w:t>
      </w:r>
    </w:p>
    <w:p>
      <w:pPr>
        <w:pStyle w:val="ListBullet"/>
        <w:spacing w:after="40" w:line="254" w:lineRule="auto"/>
      </w:pPr>
      <w:r>
        <w:rPr>
          <w:rFonts w:ascii="Arial" w:hAnsi="Arial" w:eastAsia="Arial"/>
          <w:b w:val="0"/>
          <w:i w:val="0"/>
          <w:color w:val="3D4A52"/>
          <w:sz w:val="21"/>
        </w:rPr>
        <w:t>Una respuesta funcional y comercial independiente para la Solicitud 1.</w:t>
      </w:r>
    </w:p>
    <w:p>
      <w:pPr>
        <w:pStyle w:val="ListBullet"/>
        <w:spacing w:after="40" w:line="254" w:lineRule="auto"/>
      </w:pPr>
      <w:r>
        <w:rPr>
          <w:rFonts w:ascii="Arial" w:hAnsi="Arial" w:eastAsia="Arial"/>
          <w:b w:val="0"/>
          <w:i w:val="0"/>
          <w:color w:val="3D4A52"/>
          <w:sz w:val="21"/>
        </w:rPr>
        <w:t>Una respuesta técnica y comercial independiente para la Solicitud 2.</w:t>
      </w:r>
    </w:p>
    <w:p>
      <w:pPr>
        <w:pStyle w:val="ListBullet"/>
        <w:spacing w:after="40" w:line="254" w:lineRule="auto"/>
      </w:pPr>
      <w:r>
        <w:rPr>
          <w:rFonts w:ascii="Arial" w:hAnsi="Arial" w:eastAsia="Arial"/>
          <w:b w:val="0"/>
          <w:i w:val="0"/>
          <w:color w:val="3D4A52"/>
          <w:sz w:val="21"/>
        </w:rPr>
        <w:t>Un único mapa de dependencias entre ambas.</w:t>
      </w:r>
    </w:p>
    <w:p>
      <w:pPr>
        <w:pStyle w:val="ListBullet"/>
        <w:spacing w:after="40" w:line="254" w:lineRule="auto"/>
      </w:pPr>
      <w:r>
        <w:rPr>
          <w:rFonts w:ascii="Arial" w:hAnsi="Arial" w:eastAsia="Arial"/>
          <w:b w:val="0"/>
          <w:i w:val="0"/>
          <w:color w:val="3D4A52"/>
          <w:sz w:val="21"/>
        </w:rPr>
        <w:t>Un proceso de aprobación de catálogos y estados antes de congelar el contrato API.</w:t>
      </w:r>
    </w:p>
    <w:p>
      <w:pPr>
        <w:pStyle w:val="ListBullet"/>
        <w:spacing w:after="40" w:line="254" w:lineRule="auto"/>
      </w:pPr>
      <w:r>
        <w:rPr>
          <w:rFonts w:ascii="Arial" w:hAnsi="Arial" w:eastAsia="Arial"/>
          <w:b w:val="0"/>
          <w:i w:val="0"/>
          <w:color w:val="3D4A52"/>
          <w:sz w:val="21"/>
        </w:rPr>
        <w:t>Un piloto separado para la reestructuración funcional y otro para la integración.</w:t>
      </w:r>
    </w:p>
    <w:tbl>
      <w:tblPr>
        <w:tblW w:type="auto" w:w="0"/>
        <w:jc w:val="center"/>
        <w:tblLayout w:type="fixed"/>
        <w:tblLook w:firstColumn="1" w:firstRow="1" w:lastColumn="0" w:lastRow="0" w:noHBand="0" w:noVBand="1" w:val="04A0"/>
      </w:tblPr>
      <w:tblGrid>
        <w:gridCol w:w="10166"/>
      </w:tblGrid>
      <w:tr>
        <w:tc>
          <w:tcPr>
            <w:tcW w:type="dxa" w:w="9720"/>
            <w:shd w:fill="EAF3F7"/>
            <w:tcMar>
              <w:top w:w="130" w:type="dxa"/>
              <w:start w:w="160" w:type="dxa"/>
              <w:bottom w:w="130" w:type="dxa"/>
              <w:end w:w="160" w:type="dxa"/>
            </w:tcMar>
            <w:tcBorders>
              <w:top w:val="single" w:sz="8" w:color="123B5D"/>
              <w:left w:val="single" w:sz="12" w:color="123B5D"/>
              <w:bottom w:val="single" w:sz="4" w:color="C6D5DC"/>
              <w:right w:val="single" w:sz="4" w:color="C6D5DC"/>
            </w:tcBorders>
          </w:tcPr>
          <w:p>
            <w:r>
              <w:rPr>
                <w:rFonts w:ascii="Arial" w:hAnsi="Arial" w:eastAsia="Arial"/>
                <w:b/>
                <w:sz w:val="19"/>
              </w:rPr>
              <w:t>ORDEN RECOMENDADO</w:t>
            </w:r>
            <w:r>
              <w:rPr>
                <w:rFonts w:ascii="Arial" w:hAnsi="Arial" w:eastAsia="Arial"/>
                <w:b w:val="0"/>
                <w:sz w:val="18"/>
              </w:rPr>
              <w:br/>
              <w:t>Analizar las dos solicitudes desde ahora → recibir el contrato OpenAPI sanitizado (2A) y diseñar el ticket (Solicitud 1) en paralelo → validar y congelar campos, catálogos y estados → aprobar manualmente el mapeo CNO ↔ ISPwash → ejecutar piloto de solo lectura (2B) → habilitar escritura técnica controlada → pasar progresivamente a producción.</w:t>
            </w:r>
          </w:p>
        </w:tc>
      </w:tr>
    </w:tbl>
    <w:p>
      <w:pPr>
        <w:spacing w:after="20"/>
      </w:pPr>
    </w:p>
    <w:p>
      <w:pPr>
        <w:pStyle w:val="Heading1"/>
        <w:keepNext/>
        <w:pageBreakBefore/>
        <w:spacing w:before="200" w:after="100"/>
      </w:pPr>
      <w:r>
        <w:rPr>
          <w:rFonts w:ascii="Arial" w:hAnsi="Arial" w:eastAsia="Arial"/>
          <w:b/>
          <w:color w:val="123B5D"/>
          <w:sz w:val="30"/>
        </w:rPr>
        <w:t>3. Principios obligatorios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Principio</w:t>
            </w:r>
          </w:p>
        </w:tc>
        <w:tc>
          <w:tcPr>
            <w:tcW w:type="dxa" w:w="748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Aplicación</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Un solo ticket</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El consecutivo oficial y el cierre permanecerán en ISPwash. La plataforma no creará un segundo ticket visible.</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Soporte exclusivamente</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El módulo no debe mezclar instalaciones, traslados, retiros, ventas, cartera ni facturación.</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Datos estructurados</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Síntoma, causa, acción, resultado, infraestructura y tiempos deben ser campos consultables, no solo texto libre.</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Historial inalterable</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Los cambios de estado, asignaciones, diagnósticos y cierres deben conservar auditoría.</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Operación resiliente</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ISPwash debe continuar operando manualmente si la plataforma no está disponible.</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Integración segura</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No se entregará acceso directo a bases de datos, RADIUS, routers, OLT, CPE u ONU.</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Automatización supervisada</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La plataforma podrá sugerir causas y resultados; la confirmación y el cierre oficial serán humanos y quedarán en ISPwash.</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8"/>
              </w:rPr>
              <w:t>Contrato oficial, sin supuestos</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8"/>
              </w:rPr>
              <w:t>CNO no asumirá paths, operationId, nombres de campos, scopes ni eventos. Todo mapeo se construirá a partir de documentación oficial sanitizada y aprobación humana.</w:t>
            </w:r>
          </w:p>
        </w:tc>
      </w:tr>
    </w:tbl>
    <w:p>
      <w:pPr>
        <w:spacing w:after="20"/>
      </w:pPr>
    </w:p>
    <w:p>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pPr>
              <w:jc w:val="center"/>
            </w:pPr>
            <w:r>
              <w:rPr>
                <w:rFonts w:ascii="Arial" w:hAnsi="Arial" w:eastAsia="Arial"/>
                <w:b/>
                <w:i w:val="0"/>
                <w:color w:val="FFFFFF"/>
                <w:sz w:val="22"/>
              </w:rPr>
              <w:t>SOLICITUD 1 · REESTRUCTURACIÓN DEL MÓDULO DE TICKETS DE SOPORTE TÉCNICO</w:t>
            </w:r>
          </w:p>
        </w:tc>
      </w:tr>
    </w:tbl>
    <w:p>
      <w:pPr>
        <w:spacing w:after="20"/>
      </w:pPr>
    </w:p>
    <w:p>
      <w:pPr>
        <w:pStyle w:val="Heading1"/>
        <w:keepNext/>
        <w:spacing w:before="200" w:after="100"/>
      </w:pPr>
      <w:r>
        <w:rPr>
          <w:rFonts w:ascii="Arial" w:hAnsi="Arial" w:eastAsia="Arial"/>
          <w:b/>
          <w:color w:val="123B5D"/>
          <w:sz w:val="30"/>
        </w:rPr>
        <w:t>4. Objetivo funcional</w:t>
      </w:r>
    </w:p>
    <w:p>
      <w:pPr>
        <w:keepNext w:val="0"/>
        <w:spacing w:after="100" w:line="269" w:lineRule="auto"/>
      </w:pPr>
      <w:r>
        <w:rPr>
          <w:rFonts w:ascii="Arial" w:hAnsi="Arial" w:eastAsia="Arial"/>
          <w:b w:val="0"/>
          <w:i w:val="0"/>
          <w:color w:val="3D4A52"/>
          <w:sz w:val="21"/>
        </w:rPr>
        <w:t>Reestructurar el módulo de tickets para que cada caso permita registrar, diagnosticar, atender, restablecer, cerrar y analizar una afectación técnica sobre un servicio existente. El ticket debe cumplir simultáneamente cuatro funciones:</w:t>
      </w:r>
    </w:p>
    <w:p>
      <w:pPr>
        <w:pStyle w:val="ListBullet"/>
        <w:spacing w:after="40" w:line="254" w:lineRule="auto"/>
      </w:pPr>
      <w:r>
        <w:rPr>
          <w:rFonts w:ascii="Arial" w:hAnsi="Arial" w:eastAsia="Arial"/>
          <w:b w:val="0"/>
          <w:i w:val="0"/>
          <w:color w:val="3D4A52"/>
          <w:sz w:val="21"/>
        </w:rPr>
        <w:t>Atender y comunicar adecuadamente al cliente.</w:t>
      </w:r>
    </w:p>
    <w:p>
      <w:pPr>
        <w:pStyle w:val="ListBullet"/>
        <w:spacing w:after="40" w:line="254" w:lineRule="auto"/>
      </w:pPr>
      <w:r>
        <w:rPr>
          <w:rFonts w:ascii="Arial" w:hAnsi="Arial" w:eastAsia="Arial"/>
          <w:b w:val="0"/>
          <w:i w:val="0"/>
          <w:color w:val="3D4A52"/>
          <w:sz w:val="21"/>
        </w:rPr>
        <w:t>Documentar técnicamente el incidente y las intervenciones.</w:t>
      </w:r>
    </w:p>
    <w:p>
      <w:pPr>
        <w:pStyle w:val="ListBullet"/>
        <w:spacing w:after="40" w:line="254" w:lineRule="auto"/>
      </w:pPr>
      <w:r>
        <w:rPr>
          <w:rFonts w:ascii="Arial" w:hAnsi="Arial" w:eastAsia="Arial"/>
          <w:b w:val="0"/>
          <w:i w:val="0"/>
          <w:color w:val="3D4A52"/>
          <w:sz w:val="21"/>
        </w:rPr>
        <w:t>Medir la eficiencia y calidad del proceso de soporte.</w:t>
      </w:r>
    </w:p>
    <w:p>
      <w:pPr>
        <w:pStyle w:val="ListBullet"/>
        <w:spacing w:after="40" w:line="254" w:lineRule="auto"/>
      </w:pPr>
      <w:r>
        <w:rPr>
          <w:rFonts w:ascii="Arial" w:hAnsi="Arial" w:eastAsia="Arial"/>
          <w:b w:val="0"/>
          <w:i w:val="0"/>
          <w:color w:val="3D4A52"/>
          <w:sz w:val="21"/>
        </w:rPr>
        <w:t>Alimentar estadísticas sobre clientes, tecnologías e infraestructura.</w:t>
      </w:r>
    </w:p>
    <w:p>
      <w:pPr>
        <w:pStyle w:val="Heading1"/>
        <w:keepNext/>
        <w:spacing w:before="200" w:after="100"/>
      </w:pPr>
      <w:r>
        <w:rPr>
          <w:rFonts w:ascii="Arial" w:hAnsi="Arial" w:eastAsia="Arial"/>
          <w:b/>
          <w:color w:val="123B5D"/>
          <w:sz w:val="30"/>
        </w:rPr>
        <w:t>5. Alcance y exclusiones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67"/>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Incluido en soporte</w:t>
            </w:r>
          </w:p>
        </w:tc>
        <w:tc>
          <w:tcPr>
            <w:tcW w:type="dxa" w:w="4852"/>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Excluido del módulo</w:t>
            </w:r>
          </w:p>
        </w:tc>
      </w:tr>
      <w:tr>
        <w:trPr>
          <w:cantSplit/>
        </w:trPr>
        <w:tc>
          <w:tcPr>
            <w:tcW w:type="dxa" w:w="4867"/>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Sin Internet, intermitencia, velocidad baja, latencia, pérdida, Wi-Fi, autenticación, IP, DNS y aplicaciones específicas.</w:t>
            </w:r>
          </w:p>
        </w:tc>
        <w:tc>
          <w:tcPr>
            <w:tcW w:type="dxa" w:w="485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Instalaciones nuevas, puntos adicionales y activaciones comerciales.</w:t>
            </w:r>
          </w:p>
        </w:tc>
      </w:tr>
      <w:tr>
        <w:trPr>
          <w:cantSplit/>
        </w:trPr>
        <w:tc>
          <w:tcPr>
            <w:tcW w:type="dxa" w:w="4867"/>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Fallas de CPE, ONU, router en comodato, PoE, cableado, conectores y alimentación del servicio.</w:t>
            </w:r>
          </w:p>
        </w:tc>
        <w:tc>
          <w:tcPr>
            <w:tcW w:type="dxa" w:w="485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Traslados, reubicaciones, retiros y cambios de titular.</w:t>
            </w:r>
          </w:p>
        </w:tc>
      </w:tr>
      <w:tr>
        <w:trPr>
          <w:cantSplit/>
        </w:trPr>
        <w:tc>
          <w:tcPr>
            <w:tcW w:type="dxa" w:w="4867"/>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Problemas RF, fibra, AP, PON, OLT, nodo, transporte, core, RADIUS, PPPoE, VLAN, routing, NAT o proveedor.</w:t>
            </w:r>
          </w:p>
        </w:tc>
        <w:tc>
          <w:tcPr>
            <w:tcW w:type="dxa" w:w="485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Facturación, cartera, ventas, cambios de plan y consultas administrativas.</w:t>
            </w:r>
          </w:p>
        </w:tc>
      </w:tr>
      <w:tr>
        <w:trPr>
          <w:cantSplit/>
        </w:trPr>
        <w:tc>
          <w:tcPr>
            <w:tcW w:type="dxa" w:w="4867"/>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Reemplazos correctivos de equipos o materiales averiados.</w:t>
            </w:r>
          </w:p>
        </w:tc>
        <w:tc>
          <w:tcPr>
            <w:tcW w:type="dxa" w:w="485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Ampliaciones de red, obras y mantenimientos preventivos sin una afectación de soporte.</w:t>
            </w:r>
          </w:p>
        </w:tc>
      </w:tr>
    </w:tbl>
    <w:p>
      <w:pPr>
        <w:spacing w:after="20"/>
      </w:pPr>
    </w:p>
    <w:p>
      <w:pPr>
        <w:pStyle w:val="Heading1"/>
        <w:keepNext/>
        <w:spacing w:before="200" w:after="100"/>
      </w:pPr>
      <w:r>
        <w:rPr>
          <w:rFonts w:ascii="Arial" w:hAnsi="Arial" w:eastAsia="Arial"/>
          <w:b/>
          <w:color w:val="123B5D"/>
          <w:sz w:val="30"/>
        </w:rPr>
        <w:t>6. Modalidad del soporte</w:t>
      </w:r>
    </w:p>
    <w:p>
      <w:pPr>
        <w:keepNext w:val="0"/>
        <w:spacing w:after="100" w:line="269" w:lineRule="auto"/>
      </w:pPr>
      <w:r>
        <w:rPr>
          <w:rFonts w:ascii="Arial" w:hAnsi="Arial" w:eastAsia="Arial"/>
          <w:b w:val="0"/>
          <w:i w:val="0"/>
          <w:color w:val="3D4A52"/>
          <w:sz w:val="21"/>
        </w:rPr>
        <w:t>La selección principal puede mantenerse simple, con atributos automáticos adicionales: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64"/>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Código</w:t>
            </w:r>
          </w:p>
        </w:tc>
        <w:tc>
          <w:tcPr>
            <w:tcW w:type="dxa" w:w="208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Modalidad</w:t>
            </w:r>
          </w:p>
        </w:tc>
        <w:tc>
          <w:tcPr>
            <w:tcW w:type="dxa" w:w="676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Uso</w:t>
            </w:r>
          </w:p>
        </w:tc>
      </w:tr>
      <w:tr>
        <w:trPr>
          <w:cantSplit/>
        </w:trPr>
        <w:tc>
          <w:tcPr>
            <w:tcW w:type="dxa" w:w="86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STI</w:t>
            </w:r>
          </w:p>
        </w:tc>
        <w:tc>
          <w:tcPr>
            <w:tcW w:type="dxa" w:w="20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Soporte individual</w:t>
            </w:r>
          </w:p>
        </w:tc>
        <w:tc>
          <w:tcPr>
            <w:tcW w:type="dxa" w:w="676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Reporte asociado a un servicio específico.</w:t>
            </w:r>
          </w:p>
        </w:tc>
      </w:tr>
      <w:tr>
        <w:trPr>
          <w:cantSplit/>
        </w:trPr>
        <w:tc>
          <w:tcPr>
            <w:tcW w:type="dxa" w:w="86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STM</w:t>
            </w:r>
          </w:p>
        </w:tc>
        <w:tc>
          <w:tcPr>
            <w:tcW w:type="dxa" w:w="20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Soporte masivo</w:t>
            </w:r>
          </w:p>
        </w:tc>
        <w:tc>
          <w:tcPr>
            <w:tcW w:type="dxa" w:w="676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Afectación común de AP, PON, nodo, enlace, OLT, cabecera o proveedor.</w:t>
            </w:r>
          </w:p>
        </w:tc>
      </w:tr>
      <w:tr>
        <w:trPr>
          <w:cantSplit/>
        </w:trPr>
        <w:tc>
          <w:tcPr>
            <w:tcW w:type="dxa" w:w="86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STS</w:t>
            </w:r>
          </w:p>
        </w:tc>
        <w:tc>
          <w:tcPr>
            <w:tcW w:type="dxa" w:w="20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Soporte asociado</w:t>
            </w:r>
          </w:p>
        </w:tc>
        <w:tc>
          <w:tcPr>
            <w:tcW w:type="dxa" w:w="676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Reporte individual vinculado a un incidente masivo existente.</w:t>
            </w:r>
          </w:p>
        </w:tc>
      </w:tr>
      <w:tr>
        <w:trPr>
          <w:cantSplit/>
        </w:trPr>
        <w:tc>
          <w:tcPr>
            <w:tcW w:type="dxa" w:w="86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STR</w:t>
            </w:r>
          </w:p>
        </w:tc>
        <w:tc>
          <w:tcPr>
            <w:tcW w:type="dxa" w:w="20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Soporte reabierto</w:t>
            </w:r>
          </w:p>
        </w:tc>
        <w:tc>
          <w:tcPr>
            <w:tcW w:type="dxa" w:w="676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La afectación reaparece después del cierre.</w:t>
            </w:r>
          </w:p>
        </w:tc>
      </w:tr>
      <w:tr>
        <w:trPr>
          <w:cantSplit/>
        </w:trPr>
        <w:tc>
          <w:tcPr>
            <w:tcW w:type="dxa" w:w="86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STN</w:t>
            </w:r>
          </w:p>
        </w:tc>
        <w:tc>
          <w:tcPr>
            <w:tcW w:type="dxa" w:w="20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Sin falla confirmada</w:t>
            </w:r>
          </w:p>
        </w:tc>
        <w:tc>
          <w:tcPr>
            <w:tcW w:type="dxa" w:w="676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La atención fue realizada, pero no se encontró una falla reproducible o atribuible a la red.</w:t>
            </w:r>
          </w:p>
        </w:tc>
      </w:tr>
    </w:tbl>
    <w:p>
      <w:pPr>
        <w:spacing w:after="20"/>
      </w:pPr>
    </w:p>
    <w:p>
      <w:pPr>
        <w:keepNext w:val="0"/>
        <w:spacing w:after="100" w:line="269" w:lineRule="auto"/>
      </w:pPr>
      <w:r>
        <w:rPr>
          <w:rFonts w:ascii="Arial" w:hAnsi="Arial" w:eastAsia="Arial"/>
          <w:b w:val="0"/>
          <w:i w:val="0"/>
          <w:color w:val="3D4A52"/>
          <w:sz w:val="21"/>
        </w:rPr>
        <w:t>Recomendación de interfaz: el operador solo debería elegir entre “Individual” y “Masivo”; los atributos “asociado”, “reabierto” y “sin falla confirmada” deberían calcularse o asignarse durante el ciclo del ticket.</w:t>
      </w:r>
    </w:p>
    <w:p>
      <w:pPr>
        <w:pStyle w:val="Heading1"/>
        <w:keepNext/>
        <w:pageBreakBefore w:val="0"/>
        <w:spacing w:before="200" w:after="100"/>
      </w:pPr>
      <w:r>
        <w:rPr>
          <w:rFonts w:ascii="Arial" w:hAnsi="Arial" w:eastAsia="Arial"/>
          <w:b/>
          <w:color w:val="123B5D"/>
          <w:sz w:val="30"/>
        </w:rPr>
        <w:t>7. Ciclo de vida requerido</w:t>
      </w:r>
    </w:p>
    <w:tbl>
      <w:tblPr>
        <w:tblW w:type="auto" w:w="0"/>
        <w:jc w:val="center"/>
        <w:tblLayout w:type="fixed"/>
        <w:tblLook w:firstColumn="1" w:firstRow="1" w:lastColumn="0" w:lastRow="0" w:noHBand="0" w:noVBand="1" w:val="04A0"/>
      </w:tblPr>
      <w:tblGrid>
        <w:gridCol w:w="10166"/>
      </w:tblGrid>
      <w:tr>
        <w:tc>
          <w:tcPr>
            <w:tcW w:type="dxa" w:w="9720"/>
            <w:shd w:fill="F7F8F9"/>
            <w:tcMar>
              <w:top w:w="100" w:type="dxa"/>
              <w:start w:w="140" w:type="dxa"/>
              <w:bottom w:w="100" w:type="dxa"/>
              <w:end w:w="140" w:type="dxa"/>
            </w:tcMar>
            <w:tcBorders>
              <w:top w:val="single" w:sz="4" w:color="C7D0D6"/>
              <w:left w:val="single" w:sz="4" w:color="C7D0D6"/>
              <w:bottom w:val="single" w:sz="4" w:color="C7D0D6"/>
              <w:right w:val="single" w:sz="4" w:color="C7D0D6"/>
            </w:tcBorders>
          </w:tcPr>
          <w:p>
            <w:pPr>
              <w:spacing w:after="0" w:line="240" w:lineRule="auto"/>
            </w:pPr>
            <w:r>
              <w:rPr>
                <w:rFonts w:ascii="Consolas" w:hAnsi="Consolas" w:eastAsia="Consolas"/>
                <w:b w:val="0"/>
                <w:i w:val="0"/>
                <w:color w:val="263238"/>
                <w:sz w:val="17"/>
              </w:rPr>
              <w:t>RADICADO</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EN CLASIFICACIÓN</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EN DIAGNÓSTICO REMOTO</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ASIGNADO</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VISITA PROGRAMADA           (cuando aplique)</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EN INTERVENCIÓN</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SERVICIO RESTABLECIDO</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EN OBSERVACIÓN              (opcional)</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CERRADO</w:t>
            </w:r>
          </w:p>
        </w:tc>
      </w:tr>
    </w:tbl>
    <w:p>
      <w:pPr>
        <w:spacing w:after="0"/>
      </w:pPr>
    </w:p>
    <w:p>
      <w:pPr>
        <w:keepNext w:val="0"/>
        <w:spacing w:after="100" w:line="269" w:lineRule="auto"/>
      </w:pPr>
      <w:r>
        <w:rPr>
          <w:rFonts w:ascii="Arial" w:hAnsi="Arial" w:eastAsia="Arial"/>
          <w:b w:val="0"/>
          <w:i w:val="0"/>
          <w:color w:val="3D4A52"/>
          <w:sz w:val="21"/>
        </w:rPr>
        <w:t>Estados auxiliares requeridos:</w:t>
      </w:r>
    </w:p>
    <w:p>
      <w:pPr>
        <w:pStyle w:val="ListBullet"/>
        <w:spacing w:after="40" w:line="254" w:lineRule="auto"/>
      </w:pPr>
      <w:r>
        <w:rPr>
          <w:rFonts w:ascii="Arial" w:hAnsi="Arial" w:eastAsia="Arial"/>
          <w:b w:val="0"/>
          <w:i w:val="0"/>
          <w:color w:val="3D4A52"/>
          <w:sz w:val="21"/>
        </w:rPr>
        <w:t>Pendiente del cliente.</w:t>
      </w:r>
    </w:p>
    <w:p>
      <w:pPr>
        <w:pStyle w:val="ListBullet"/>
        <w:spacing w:after="40" w:line="254" w:lineRule="auto"/>
      </w:pPr>
      <w:r>
        <w:rPr>
          <w:rFonts w:ascii="Arial" w:hAnsi="Arial" w:eastAsia="Arial"/>
          <w:b w:val="0"/>
          <w:i w:val="0"/>
          <w:color w:val="3D4A52"/>
          <w:sz w:val="21"/>
        </w:rPr>
        <w:t>Pendiente de material.</w:t>
      </w:r>
    </w:p>
    <w:p>
      <w:pPr>
        <w:pStyle w:val="ListBullet"/>
        <w:spacing w:after="40" w:line="254" w:lineRule="auto"/>
      </w:pPr>
      <w:r>
        <w:rPr>
          <w:rFonts w:ascii="Arial" w:hAnsi="Arial" w:eastAsia="Arial"/>
          <w:b w:val="0"/>
          <w:i w:val="0"/>
          <w:color w:val="3D4A52"/>
          <w:sz w:val="21"/>
        </w:rPr>
        <w:t>Pendiente de tercero.</w:t>
      </w:r>
    </w:p>
    <w:p>
      <w:pPr>
        <w:pStyle w:val="ListBullet"/>
        <w:spacing w:after="40" w:line="254" w:lineRule="auto"/>
      </w:pPr>
      <w:r>
        <w:rPr>
          <w:rFonts w:ascii="Arial" w:hAnsi="Arial" w:eastAsia="Arial"/>
          <w:b w:val="0"/>
          <w:i w:val="0"/>
          <w:color w:val="3D4A52"/>
          <w:sz w:val="21"/>
        </w:rPr>
        <w:t>Pendiente de infraestructura.</w:t>
      </w:r>
    </w:p>
    <w:p>
      <w:pPr>
        <w:pStyle w:val="ListBullet"/>
        <w:spacing w:after="40" w:line="254" w:lineRule="auto"/>
      </w:pPr>
      <w:r>
        <w:rPr>
          <w:rFonts w:ascii="Arial" w:hAnsi="Arial" w:eastAsia="Arial"/>
          <w:b w:val="0"/>
          <w:i w:val="0"/>
          <w:color w:val="3D4A52"/>
          <w:sz w:val="21"/>
        </w:rPr>
        <w:t>Asociado a incidente masivo.</w:t>
      </w:r>
    </w:p>
    <w:p>
      <w:pPr>
        <w:pStyle w:val="ListBullet"/>
        <w:spacing w:after="40" w:line="254" w:lineRule="auto"/>
      </w:pPr>
      <w:r>
        <w:rPr>
          <w:rFonts w:ascii="Arial" w:hAnsi="Arial" w:eastAsia="Arial"/>
          <w:b w:val="0"/>
          <w:i w:val="0"/>
          <w:color w:val="3D4A52"/>
          <w:sz w:val="21"/>
        </w:rPr>
        <w:t>Duplicado.</w:t>
      </w:r>
    </w:p>
    <w:p>
      <w:pPr>
        <w:pStyle w:val="ListBullet"/>
        <w:spacing w:after="40" w:line="254" w:lineRule="auto"/>
      </w:pPr>
      <w:r>
        <w:rPr>
          <w:rFonts w:ascii="Arial" w:hAnsi="Arial" w:eastAsia="Arial"/>
          <w:b w:val="0"/>
          <w:i w:val="0"/>
          <w:color w:val="3D4A52"/>
          <w:sz w:val="21"/>
        </w:rPr>
        <w:t>No fue posible contactar.</w:t>
      </w:r>
    </w:p>
    <w:p>
      <w:pPr>
        <w:pStyle w:val="ListBullet"/>
        <w:spacing w:after="40" w:line="254" w:lineRule="auto"/>
      </w:pPr>
      <w:r>
        <w:rPr>
          <w:rFonts w:ascii="Arial" w:hAnsi="Arial" w:eastAsia="Arial"/>
          <w:b w:val="0"/>
          <w:i w:val="0"/>
          <w:color w:val="3D4A52"/>
          <w:sz w:val="21"/>
        </w:rPr>
        <w:t>Solución temporal.</w:t>
      </w:r>
    </w:p>
    <w:p>
      <w:pPr>
        <w:pStyle w:val="ListBullet"/>
        <w:spacing w:after="40" w:line="254" w:lineRule="auto"/>
      </w:pPr>
      <w:r>
        <w:rPr>
          <w:rFonts w:ascii="Arial" w:hAnsi="Arial" w:eastAsia="Arial"/>
          <w:b w:val="0"/>
          <w:i w:val="0"/>
          <w:color w:val="3D4A52"/>
          <w:sz w:val="21"/>
        </w:rPr>
        <w:t>Reabierto.</w:t>
      </w:r>
    </w:p>
    <w:tbl>
      <w:tblPr>
        <w:tblW w:type="auto" w:w="0"/>
        <w:jc w:val="center"/>
        <w:tblLayout w:type="fixed"/>
        <w:tblLook w:firstColumn="1" w:firstRow="1" w:lastColumn="0" w:lastRow="0" w:noHBand="0" w:noVBand="1" w:val="04A0"/>
      </w:tblPr>
      <w:tblGrid>
        <w:gridCol w:w="10166"/>
      </w:tblGrid>
      <w:tr>
        <w:trPr>
          <w:cantSplit/>
        </w:trPr>
        <w:tc>
          <w:tcPr>
            <w:tcW w:type="dxa" w:w="9720"/>
            <w:shd w:fill="FFF6E5"/>
            <w:tcMar>
              <w:top w:w="130" w:type="dxa"/>
              <w:start w:w="160" w:type="dxa"/>
              <w:bottom w:w="130" w:type="dxa"/>
              <w:end w:w="160" w:type="dxa"/>
            </w:tcMar>
            <w:tcBorders>
              <w:top w:val="single" w:sz="8" w:color="8A6322"/>
              <w:left w:val="single" w:sz="12" w:color="8A6322"/>
              <w:bottom w:val="single" w:sz="4" w:color="C6D5DC"/>
              <w:right w:val="single" w:sz="4" w:color="C6D5DC"/>
            </w:tcBorders>
          </w:tcPr>
          <w:p>
            <w:pPr>
              <w:spacing w:after="40"/>
            </w:pPr>
            <w:r>
              <w:rPr>
                <w:rFonts w:ascii="Arial" w:hAnsi="Arial" w:eastAsia="Arial"/>
                <w:b/>
                <w:i w:val="0"/>
                <w:color w:val="8A6322"/>
                <w:sz w:val="21"/>
              </w:rPr>
              <w:t>RESTABLECIDO NO ES IGUAL A CERRADO</w:t>
            </w:r>
          </w:p>
          <w:p>
            <w:pPr>
              <w:spacing w:after="0" w:line="259" w:lineRule="auto"/>
            </w:pPr>
            <w:r>
              <w:rPr>
                <w:rFonts w:ascii="Arial" w:hAnsi="Arial" w:eastAsia="Arial"/>
                <w:b w:val="0"/>
                <w:i w:val="0"/>
                <w:color w:val="3D4A52"/>
                <w:sz w:val="20"/>
              </w:rPr>
              <w:t>“Servicio restablecido” registra el momento en que vuelve la conectividad. “Cerrado” significa que la causa, la acción, las pruebas finales, el resultado y la validación quedaron documentados. Deben existir timestamps separados.</w:t>
            </w:r>
          </w:p>
        </w:tc>
      </w:tr>
    </w:tbl>
    <w:p>
      <w:pPr>
        <w:spacing w:after="20"/>
      </w:pPr>
    </w:p>
    <w:p>
      <w:pPr>
        <w:pStyle w:val="Heading1"/>
        <w:keepNext/>
        <w:spacing w:before="200" w:after="100"/>
      </w:pPr>
      <w:r>
        <w:rPr>
          <w:rFonts w:ascii="Arial" w:hAnsi="Arial" w:eastAsia="Arial"/>
          <w:b/>
          <w:color w:val="123B5D"/>
          <w:sz w:val="30"/>
        </w:rPr>
        <w:t>8. Estructura de pantalla del ticket</w:t>
      </w:r>
    </w:p>
    <w:p>
      <w:pPr>
        <w:keepNext w:val="0"/>
        <w:spacing w:after="100" w:line="269" w:lineRule="auto"/>
      </w:pPr>
      <w:r>
        <w:rPr>
          <w:rFonts w:ascii="Arial" w:hAnsi="Arial" w:eastAsia="Arial"/>
          <w:b w:val="0"/>
          <w:i w:val="0"/>
          <w:color w:val="3D4A52"/>
          <w:sz w:val="21"/>
        </w:rPr>
        <w:t>Para evitar un formulario extenso y difícil de operar, solicitamos una estructura por bloques o pestañas: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5"/>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Bloque</w:t>
            </w:r>
          </w:p>
        </w:tc>
        <w:tc>
          <w:tcPr>
            <w:tcW w:type="dxa" w:w="7703"/>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Contenido</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1. Resumen</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Cliente, servicio, canal, síntoma, prioridad, estado, responsable e infraestructura principal.</w:t>
            </w:r>
          </w:p>
        </w:tc>
      </w:tr>
      <w:tr>
        <w:trPr>
          <w:cantSplit/>
        </w:trPr>
        <w:tc>
          <w:tcPr>
            <w:tcW w:type="dxa" w:w="201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2. Diagnóstico</w:t>
            </w:r>
          </w:p>
        </w:tc>
        <w:tc>
          <w:tcPr>
            <w:tcW w:type="dxa" w:w="77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Pruebas iniciales, pruebas de seguimiento, causa sospechada, causa confirmada y snapshots.</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3. Intervenciones</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Atenciones remotas, visitas, acciones, técnicos, materiales, equipos y resultados.</w:t>
            </w:r>
          </w:p>
        </w:tc>
      </w:tr>
      <w:tr>
        <w:trPr>
          <w:cantSplit/>
        </w:trPr>
        <w:tc>
          <w:tcPr>
            <w:tcW w:type="dxa" w:w="201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4. Evidencias</w:t>
            </w:r>
          </w:p>
        </w:tc>
        <w:tc>
          <w:tcPr>
            <w:tcW w:type="dxa" w:w="77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Fotografías, capturas, logs, mediciones, archivos y referencias de la plataforma.</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5. Cronología</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Eventos, cambios de estado, asignaciones, comunicaciones y auditoría.</w:t>
            </w:r>
          </w:p>
        </w:tc>
      </w:tr>
      <w:tr>
        <w:trPr>
          <w:cantSplit/>
        </w:trPr>
        <w:tc>
          <w:tcPr>
            <w:tcW w:type="dxa" w:w="201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6. Cierre</w:t>
            </w:r>
          </w:p>
        </w:tc>
        <w:tc>
          <w:tcPr>
            <w:tcW w:type="dxa" w:w="77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Restablecimiento, pruebas finales, resultado, validación, reincidencia y observación final.</w:t>
            </w:r>
          </w:p>
        </w:tc>
      </w:tr>
    </w:tbl>
    <w:p>
      <w:pPr>
        <w:spacing w:after="20"/>
      </w:pPr>
    </w:p>
    <w:p>
      <w:pPr>
        <w:pStyle w:val="Heading1"/>
        <w:keepNext/>
        <w:spacing w:before="200" w:after="100"/>
      </w:pPr>
      <w:r>
        <w:rPr>
          <w:rFonts w:ascii="Arial" w:hAnsi="Arial" w:eastAsia="Arial"/>
          <w:b/>
          <w:color w:val="123B5D"/>
          <w:sz w:val="30"/>
        </w:rPr>
        <w:t>9. Datos de apertura</w:t>
      </w:r>
    </w:p>
    <w:p>
      <w:pPr>
        <w:keepNext w:val="0"/>
        <w:spacing w:after="100" w:line="269" w:lineRule="auto"/>
      </w:pPr>
      <w:r>
        <w:rPr>
          <w:rFonts w:ascii="Arial" w:hAnsi="Arial" w:eastAsia="Arial"/>
          <w:b w:val="0"/>
          <w:i w:val="0"/>
          <w:color w:val="3D4A52"/>
          <w:sz w:val="21"/>
        </w:rPr>
        <w:t>ISPwash debe llenar automáticamente todos los datos disponibles y reducir la digitación manual. La apertura debe conservar el reporte original del cliente y, al mismo tiempo, clasificarlo mediante campos estructurados.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5"/>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Grupo</w:t>
            </w:r>
          </w:p>
        </w:tc>
        <w:tc>
          <w:tcPr>
            <w:tcW w:type="dxa" w:w="7703"/>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Datos mínimos</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Automáticos</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Número de ticket; fecha/hora; usuario creador; cliente; service_id; estado del servicio; plan; dirección; municipio; zona; tecnología; IP; PPPoE; equipos asignados; tickets anteriores.</w:t>
            </w:r>
          </w:p>
        </w:tc>
      </w:tr>
      <w:tr>
        <w:trPr>
          <w:cantSplit/>
        </w:trPr>
        <w:tc>
          <w:tcPr>
            <w:tcW w:type="dxa" w:w="201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Capturados por el operador</w:t>
            </w:r>
          </w:p>
        </w:tc>
        <w:tc>
          <w:tcPr>
            <w:tcW w:type="dxa" w:w="77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Canal; persona que reporta; inicio aproximado; síntoma principal; síntoma secundario opcional; descripción original; alcance percibido; evidencias recibidas; disponibilidad para visita.</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Canal</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WhatsApp, llamada, presencial, técnico, monitoreo, interno, correo u otro.</w:t>
            </w:r>
          </w:p>
        </w:tc>
      </w:tr>
    </w:tbl>
    <w:p>
      <w:pPr>
        <w:spacing w:after="20"/>
      </w:pPr>
    </w:p>
    <w:p>
      <w:pPr>
        <w:pStyle w:val="Heading1"/>
        <w:keepNext/>
        <w:spacing w:before="200" w:after="100"/>
      </w:pPr>
      <w:r>
        <w:rPr>
          <w:rFonts w:ascii="Arial" w:hAnsi="Arial" w:eastAsia="Arial"/>
          <w:b/>
          <w:color w:val="123B5D"/>
          <w:sz w:val="30"/>
        </w:rPr>
        <w:t>10. Asociación obligatoria con infraestructura</w:t>
      </w:r>
    </w:p>
    <w:tbl>
      <w:tblPr>
        <w:tblW w:type="auto" w:w="0"/>
        <w:jc w:val="center"/>
        <w:tblLayout w:type="fixed"/>
        <w:tblLook w:firstColumn="1" w:firstRow="1" w:lastColumn="0" w:lastRow="0" w:noHBand="0" w:noVBand="1" w:val="04A0"/>
      </w:tblPr>
      <w:tblGrid>
        <w:gridCol w:w="10166"/>
      </w:tblGrid>
      <w:tr>
        <w:tc>
          <w:tcPr>
            <w:tcW w:type="dxa" w:w="9720"/>
            <w:shd w:fill="F7F8F9"/>
            <w:tcMar>
              <w:top w:w="100" w:type="dxa"/>
              <w:start w:w="140" w:type="dxa"/>
              <w:bottom w:w="100" w:type="dxa"/>
              <w:end w:w="140" w:type="dxa"/>
            </w:tcMar>
            <w:tcBorders>
              <w:top w:val="single" w:sz="4" w:color="C7D0D6"/>
              <w:left w:val="single" w:sz="4" w:color="C7D0D6"/>
              <w:bottom w:val="single" w:sz="4" w:color="C7D0D6"/>
              <w:right w:val="single" w:sz="4" w:color="C7D0D6"/>
            </w:tcBorders>
          </w:tcPr>
          <w:p>
            <w:pPr>
              <w:spacing w:after="0" w:line="240" w:lineRule="auto"/>
            </w:pPr>
            <w:r>
              <w:rPr>
                <w:rFonts w:ascii="Consolas" w:hAnsi="Consolas" w:eastAsia="Consolas"/>
                <w:b w:val="0"/>
                <w:i w:val="0"/>
                <w:color w:val="263238"/>
                <w:sz w:val="17"/>
              </w:rPr>
              <w:t>REGIONAL</w:t>
            </w:r>
            <w:r>
              <w:rPr>
                <w:rFonts w:ascii="Arial" w:hAnsi="Arial" w:eastAsia="Arial"/>
              </w:rPr>
              <w:br/>
            </w:r>
            <w:r>
              <w:rPr>
                <w:rFonts w:ascii="Consolas" w:hAnsi="Consolas" w:eastAsia="Consolas"/>
                <w:b w:val="0"/>
                <w:i w:val="0"/>
                <w:color w:val="263238"/>
                <w:sz w:val="17"/>
              </w:rPr>
              <w:t xml:space="preserve">  └── MUNICIPIO</w:t>
            </w:r>
            <w:r>
              <w:rPr>
                <w:rFonts w:ascii="Arial" w:hAnsi="Arial" w:eastAsia="Arial"/>
              </w:rPr>
              <w:br/>
            </w:r>
            <w:r>
              <w:rPr>
                <w:rFonts w:ascii="Consolas" w:hAnsi="Consolas" w:eastAsia="Consolas"/>
                <w:b w:val="0"/>
                <w:i w:val="0"/>
                <w:color w:val="263238"/>
                <w:sz w:val="17"/>
              </w:rPr>
              <w:t xml:space="preserve">       └── ZONA</w:t>
            </w:r>
            <w:r>
              <w:rPr>
                <w:rFonts w:ascii="Arial" w:hAnsi="Arial" w:eastAsia="Arial"/>
              </w:rPr>
              <w:br/>
            </w:r>
            <w:r>
              <w:rPr>
                <w:rFonts w:ascii="Consolas" w:hAnsi="Consolas" w:eastAsia="Consolas"/>
                <w:b w:val="0"/>
                <w:i w:val="0"/>
                <w:color w:val="263238"/>
                <w:sz w:val="17"/>
              </w:rPr>
              <w:t xml:space="preserve">            └── NODO</w:t>
            </w:r>
            <w:r>
              <w:rPr>
                <w:rFonts w:ascii="Arial" w:hAnsi="Arial" w:eastAsia="Arial"/>
              </w:rPr>
              <w:br/>
            </w:r>
            <w:r>
              <w:rPr>
                <w:rFonts w:ascii="Consolas" w:hAnsi="Consolas" w:eastAsia="Consolas"/>
                <w:b w:val="0"/>
                <w:i w:val="0"/>
                <w:color w:val="263238"/>
                <w:sz w:val="17"/>
              </w:rPr>
              <w:t xml:space="preserve">                 └── TECNOLOGÍA</w:t>
            </w:r>
            <w:r>
              <w:rPr>
                <w:rFonts w:ascii="Arial" w:hAnsi="Arial" w:eastAsia="Arial"/>
              </w:rPr>
              <w:br/>
            </w:r>
            <w:r>
              <w:rPr>
                <w:rFonts w:ascii="Consolas" w:hAnsi="Consolas" w:eastAsia="Consolas"/>
                <w:b w:val="0"/>
                <w:i w:val="0"/>
                <w:color w:val="263238"/>
                <w:sz w:val="17"/>
              </w:rPr>
              <w:t xml:space="preserve">                      ├── AP → CPE → SERVICIO</w:t>
            </w:r>
            <w:r>
              <w:rPr>
                <w:rFonts w:ascii="Arial" w:hAnsi="Arial" w:eastAsia="Arial"/>
              </w:rPr>
              <w:br/>
            </w:r>
            <w:r>
              <w:rPr>
                <w:rFonts w:ascii="Consolas" w:hAnsi="Consolas" w:eastAsia="Consolas"/>
                <w:b w:val="0"/>
                <w:i w:val="0"/>
                <w:color w:val="263238"/>
                <w:sz w:val="17"/>
              </w:rPr>
              <w:t xml:space="preserve">                      └── OLT → PON → ONU → SERVICIO</w:t>
            </w:r>
          </w:p>
        </w:tc>
      </w:tr>
    </w:tbl>
    <w:p>
      <w:pPr>
        <w:spacing w:after="0"/>
      </w:pPr>
    </w:p>
    <w:p>
      <w:pPr>
        <w:keepNext w:val="0"/>
        <w:spacing w:after="100" w:line="269" w:lineRule="auto"/>
      </w:pPr>
      <w:r>
        <w:rPr>
          <w:rFonts w:ascii="Arial" w:hAnsi="Arial" w:eastAsia="Arial"/>
          <w:b w:val="0"/>
          <w:i w:val="0"/>
          <w:color w:val="3D4A52"/>
          <w:sz w:val="21"/>
        </w:rPr>
        <w:t>La asociación debe permitir reportes por infraestructura y guardar un snapshot histórico del momento del incidente. Si un cliente cambia posteriormente de AP o PON, el ticket histórico debe conservar la infraestructura donde ocurrió la falla.</w:t>
      </w:r>
    </w:p>
    <w:p>
      <w:pPr>
        <w:pStyle w:val="Heading1"/>
        <w:keepNext/>
        <w:spacing w:before="200" w:after="100"/>
      </w:pPr>
      <w:r>
        <w:rPr>
          <w:rFonts w:ascii="Arial" w:hAnsi="Arial" w:eastAsia="Arial"/>
          <w:b/>
          <w:color w:val="123B5D"/>
          <w:sz w:val="30"/>
        </w:rPr>
        <w:t>11. Síntoma, causa, acción y resultado: campos separados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Concepto</w:t>
            </w:r>
          </w:p>
        </w:tc>
        <w:tc>
          <w:tcPr>
            <w:tcW w:type="dxa" w:w="381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Pregunta que responde</w:t>
            </w:r>
          </w:p>
        </w:tc>
        <w:tc>
          <w:tcPr>
            <w:tcW w:type="dxa" w:w="4031"/>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Ejemplo</w:t>
            </w:r>
          </w:p>
        </w:tc>
      </w:tr>
      <w:tr>
        <w:trPr>
          <w:cantSplit/>
        </w:trPr>
        <w:tc>
          <w:tcPr>
            <w:tcW w:type="dxa" w:w="187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Síntoma</w:t>
            </w:r>
          </w:p>
        </w:tc>
        <w:tc>
          <w:tcPr>
            <w:tcW w:type="dxa" w:w="381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¿Qué experimentó o reportó el cliente?</w:t>
            </w:r>
          </w:p>
        </w:tc>
        <w:tc>
          <w:tcPr>
            <w:tcW w:type="dxa" w:w="4031"/>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Servicio intermitente.</w:t>
            </w:r>
          </w:p>
        </w:tc>
      </w:tr>
      <w:tr>
        <w:trPr>
          <w:cantSplit/>
        </w:trPr>
        <w:tc>
          <w:tcPr>
            <w:tcW w:type="dxa" w:w="187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Causa sospechada</w:t>
            </w:r>
          </w:p>
        </w:tc>
        <w:tc>
          <w:tcPr>
            <w:tcW w:type="dxa" w:w="381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¿Qué hipótesis existe durante el diagnóstico?</w:t>
            </w:r>
          </w:p>
        </w:tc>
        <w:tc>
          <w:tcPr>
            <w:tcW w:type="dxa" w:w="4031"/>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Interferencia RF.</w:t>
            </w:r>
          </w:p>
        </w:tc>
      </w:tr>
      <w:tr>
        <w:trPr>
          <w:cantSplit/>
        </w:trPr>
        <w:tc>
          <w:tcPr>
            <w:tcW w:type="dxa" w:w="187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Causa confirmada</w:t>
            </w:r>
          </w:p>
        </w:tc>
        <w:tc>
          <w:tcPr>
            <w:tcW w:type="dxa" w:w="381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¿Qué produjo realmente la afectación?</w:t>
            </w:r>
          </w:p>
        </w:tc>
        <w:tc>
          <w:tcPr>
            <w:tcW w:type="dxa" w:w="4031"/>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Cable deteriorado entre PoE y CPE.</w:t>
            </w:r>
          </w:p>
        </w:tc>
      </w:tr>
      <w:tr>
        <w:trPr>
          <w:cantSplit/>
        </w:trPr>
        <w:tc>
          <w:tcPr>
            <w:tcW w:type="dxa" w:w="187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Acción</w:t>
            </w:r>
          </w:p>
        </w:tc>
        <w:tc>
          <w:tcPr>
            <w:tcW w:type="dxa" w:w="381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¿Qué se hizo?</w:t>
            </w:r>
          </w:p>
        </w:tc>
        <w:tc>
          <w:tcPr>
            <w:tcW w:type="dxa" w:w="4031"/>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cable y realineación.</w:t>
            </w:r>
          </w:p>
        </w:tc>
      </w:tr>
      <w:tr>
        <w:trPr>
          <w:cantSplit/>
        </w:trPr>
        <w:tc>
          <w:tcPr>
            <w:tcW w:type="dxa" w:w="187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Resultado</w:t>
            </w:r>
          </w:p>
        </w:tc>
        <w:tc>
          <w:tcPr>
            <w:tcW w:type="dxa" w:w="381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¿Cómo terminó el caso?</w:t>
            </w:r>
          </w:p>
        </w:tc>
        <w:tc>
          <w:tcPr>
            <w:tcW w:type="dxa" w:w="4031"/>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Solucionado en primera visita.</w:t>
            </w:r>
          </w:p>
        </w:tc>
      </w:tr>
    </w:tbl>
    <w:p>
      <w:pPr>
        <w:spacing w:after="20"/>
      </w:pPr>
    </w:p>
    <w:p>
      <w:pPr>
        <w:pStyle w:val="Heading1"/>
        <w:keepNext/>
        <w:spacing w:before="200" w:after="100"/>
      </w:pPr>
      <w:r>
        <w:rPr>
          <w:rFonts w:ascii="Arial" w:hAnsi="Arial" w:eastAsia="Arial"/>
          <w:b/>
          <w:color w:val="123B5D"/>
          <w:sz w:val="30"/>
        </w:rPr>
        <w:t>12. Diagnóstico y mediciones estructuradas</w:t>
      </w:r>
    </w:p>
    <w:p>
      <w:pPr>
        <w:keepNext/>
        <w:spacing w:after="100" w:line="269" w:lineRule="auto"/>
      </w:pPr>
      <w:r>
        <w:rPr>
          <w:rFonts w:ascii="Arial" w:hAnsi="Arial" w:eastAsia="Arial"/>
          <w:b w:val="0"/>
          <w:i w:val="0"/>
          <w:color w:val="3D4A52"/>
          <w:sz w:val="21"/>
        </w:rPr>
        <w:t>Cada medición debe guardar tipo de prueba, resultado, unidad, fecha/hora, origen y fase. Los resultados no deben quedar únicamente en observaciones.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Común a cualquier tecnología</w:t>
            </w:r>
          </w:p>
        </w:tc>
        <w:tc>
          <w:tcPr>
            <w:tcW w:type="dxa" w:w="324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Radio</w:t>
            </w:r>
          </w:p>
        </w:tc>
        <w:tc>
          <w:tcPr>
            <w:tcW w:type="dxa" w:w="324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FTTH</w:t>
            </w:r>
          </w:p>
        </w:tc>
      </w:tr>
      <w:tr>
        <w:trPr>
          <w:cantSplit/>
        </w:trPr>
        <w:tc>
          <w:tcPr>
            <w:tcW w:type="dxa" w:w="32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Estado del servicio; PPPoE; RADIUS; IP; gateway; Internet; DNS; latencia; pérdida; velocidad; uptime; reinicios; energía.</w:t>
            </w:r>
          </w:p>
        </w:tc>
        <w:tc>
          <w:tcPr>
            <w:tcW w:type="dxa" w:w="32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Nodo; AP; VLAN; NAS; CPE; MAC; modelo; asociación; RSSI; SNR; CCQ; ruido; Tx/Rx; frecuencia; ancho; ethernet; PoE; transporte.</w:t>
            </w:r>
          </w:p>
        </w:tc>
        <w:tc>
          <w:tcPr>
            <w:tcW w:type="dxa" w:w="32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OLT; tarjeta; PON; ONU; serial; VLAN; online/offline; LOS; RX/TX óptico; distancia; uptime; ethernet; PPPoE; última desconexión.</w:t>
            </w:r>
          </w:p>
        </w:tc>
      </w:tr>
    </w:tbl>
    <w:p>
      <w:pPr>
        <w:spacing w:after="20"/>
      </w:pPr>
    </w:p>
    <w:p>
      <w:pPr>
        <w:pStyle w:val="Heading1"/>
        <w:keepNext/>
        <w:spacing w:before="200" w:after="100"/>
      </w:pPr>
      <w:r>
        <w:rPr>
          <w:rFonts w:ascii="Arial" w:hAnsi="Arial" w:eastAsia="Arial"/>
          <w:b/>
          <w:color w:val="123B5D"/>
          <w:sz w:val="30"/>
        </w:rPr>
        <w:t>13. Snapshot inicial y final</w:t>
      </w:r>
    </w:p>
    <w:p>
      <w:pPr>
        <w:keepNext w:val="0"/>
        <w:spacing w:after="100" w:line="269" w:lineRule="auto"/>
      </w:pPr>
      <w:r>
        <w:rPr>
          <w:rFonts w:ascii="Arial" w:hAnsi="Arial" w:eastAsia="Arial"/>
          <w:b w:val="0"/>
          <w:i w:val="0"/>
          <w:color w:val="3D4A52"/>
          <w:sz w:val="21"/>
        </w:rPr>
        <w:t>El ticket debe permitir comparar el estado técnico antes y después de la intervención. Cuando no sea posible obtener la medición final, el usuario deberá seleccionar una razón y escribir la justificación.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5"/>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Fase</w:t>
            </w:r>
          </w:p>
        </w:tc>
        <w:tc>
          <w:tcPr>
            <w:tcW w:type="dxa" w:w="8063"/>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Ejemplo</w:t>
            </w:r>
          </w:p>
        </w:tc>
      </w:tr>
      <w:tr>
        <w:trPr>
          <w:cantSplit/>
        </w:trPr>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Inicial</w:t>
            </w:r>
          </w:p>
        </w:tc>
        <w:tc>
          <w:tcPr>
            <w:tcW w:type="dxa" w:w="806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PPPoE conectado; RSSI –76 dBm; CCQ 54 %; latencia 104 ms; pérdida 16 %; uptime 24 minutos.</w:t>
            </w:r>
          </w:p>
        </w:tc>
      </w:tr>
      <w:tr>
        <w:trPr>
          <w:cantSplit/>
        </w:trPr>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Final</w:t>
            </w:r>
          </w:p>
        </w:tc>
        <w:tc>
          <w:tcPr>
            <w:tcW w:type="dxa" w:w="806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PPPoE conectado; RSSI –64 dBm; CCQ 93 %; latencia 25 ms; pérdida 0 %.</w:t>
            </w:r>
          </w:p>
        </w:tc>
      </w:tr>
    </w:tbl>
    <w:p>
      <w:pPr>
        <w:spacing w:after="20"/>
      </w:pPr>
    </w:p>
    <w:p>
      <w:pPr>
        <w:pStyle w:val="Heading1"/>
        <w:keepNext/>
        <w:spacing w:before="200" w:after="100"/>
      </w:pPr>
      <w:r>
        <w:rPr>
          <w:rFonts w:ascii="Arial" w:hAnsi="Arial" w:eastAsia="Arial"/>
          <w:b/>
          <w:color w:val="123B5D"/>
          <w:sz w:val="30"/>
        </w:rPr>
        <w:t>14. Intervenciones, materiales y equipos</w:t>
      </w:r>
    </w:p>
    <w:p>
      <w:pPr>
        <w:keepNext w:val="0"/>
        <w:spacing w:after="100" w:line="269" w:lineRule="auto"/>
      </w:pPr>
      <w:r>
        <w:rPr>
          <w:rFonts w:ascii="Arial" w:hAnsi="Arial" w:eastAsia="Arial"/>
          <w:b w:val="0"/>
          <w:i w:val="0"/>
          <w:color w:val="3D4A52"/>
          <w:sz w:val="21"/>
        </w:rPr>
        <w:t>Un ticket puede tener múltiples intervenciones. Cada una debe registrar fecha/hora, tipo remoto o presencial, técnico, diagnóstico encontrado, acción, materiales, equipos retirados/instalados, evidencia, resultado y siguiente paso.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Elemento</w:t>
            </w:r>
          </w:p>
        </w:tc>
        <w:tc>
          <w:tcPr>
            <w:tcW w:type="dxa" w:w="777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Datos requeridos</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Intervención</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Número, tipo, técnico principal, acompañante, inicio, fin, hallazgo, acción, resultado y próximo paso.</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Equipo retirado</w:t>
            </w:r>
          </w:p>
        </w:tc>
        <w:tc>
          <w:tcPr>
            <w:tcW w:type="dxa" w:w="777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Tipo, marca, modelo, serial, MAC, estado y motivo.</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Equipo instalado</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Tipo, marca, modelo, serial, MAC, condición y propiedad empresa/cliente.</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Material</w:t>
            </w:r>
          </w:p>
        </w:tc>
        <w:tc>
          <w:tcPr>
            <w:tcW w:type="dxa" w:w="777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Tipo, cantidad, unidad y observación.</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Evidencia</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Tipo, archivo, fecha, usuario, descripción e intervención relacionada.</w:t>
            </w:r>
          </w:p>
        </w:tc>
      </w:tr>
    </w:tbl>
    <w:p>
      <w:pPr>
        <w:spacing w:after="20"/>
      </w:pPr>
    </w:p>
    <w:p>
      <w:pPr>
        <w:pStyle w:val="Heading1"/>
        <w:keepNext/>
        <w:spacing w:before="200" w:after="100"/>
      </w:pPr>
      <w:r>
        <w:rPr>
          <w:rFonts w:ascii="Arial" w:hAnsi="Arial" w:eastAsia="Arial"/>
          <w:b/>
          <w:color w:val="123B5D"/>
          <w:sz w:val="30"/>
        </w:rPr>
        <w:t>15. Reglas obligatorias de cierre</w:t>
      </w:r>
    </w:p>
    <w:p>
      <w:pPr>
        <w:spacing w:after="30" w:line="245" w:lineRule="auto"/>
        <w:ind w:left="403" w:hanging="403"/>
      </w:pPr>
      <w:r>
        <w:rPr>
          <w:rFonts w:ascii="Arial" w:hAnsi="Arial"/>
          <w:b w:val="0"/>
          <w:sz w:val="20"/>
        </w:rPr>
        <w:t xml:space="preserve">1.  </w:t>
      </w:r>
      <w:r>
        <w:rPr>
          <w:rFonts w:ascii="Arial" w:hAnsi="Arial"/>
          <w:b w:val="0"/>
          <w:sz w:val="20"/>
        </w:rPr>
        <w:t>No cerrar sin causa confirmada, salvo excepción autorizada y justificada.</w:t>
      </w:r>
    </w:p>
    <w:p>
      <w:pPr>
        <w:spacing w:after="30" w:line="245" w:lineRule="auto"/>
        <w:ind w:left="403" w:hanging="403"/>
      </w:pPr>
      <w:r>
        <w:rPr>
          <w:rFonts w:ascii="Arial" w:hAnsi="Arial"/>
          <w:b w:val="0"/>
          <w:sz w:val="20"/>
        </w:rPr>
        <w:t xml:space="preserve">2.  </w:t>
      </w:r>
      <w:r>
        <w:rPr>
          <w:rFonts w:ascii="Arial" w:hAnsi="Arial"/>
          <w:b w:val="0"/>
          <w:sz w:val="20"/>
        </w:rPr>
        <w:t>No cerrar sin acción o solución registrada.</w:t>
      </w:r>
    </w:p>
    <w:p>
      <w:pPr>
        <w:spacing w:after="30" w:line="245" w:lineRule="auto"/>
        <w:ind w:left="403" w:hanging="403"/>
      </w:pPr>
      <w:r>
        <w:rPr>
          <w:rFonts w:ascii="Arial" w:hAnsi="Arial"/>
          <w:b w:val="0"/>
          <w:sz w:val="20"/>
        </w:rPr>
        <w:t xml:space="preserve">3.  </w:t>
      </w:r>
      <w:r>
        <w:rPr>
          <w:rFonts w:ascii="Arial" w:hAnsi="Arial"/>
          <w:b w:val="0"/>
          <w:sz w:val="20"/>
        </w:rPr>
        <w:t>No cerrar sin resultado técnico.</w:t>
      </w:r>
    </w:p>
    <w:p>
      <w:pPr>
        <w:spacing w:after="30" w:line="245" w:lineRule="auto"/>
        <w:ind w:left="403" w:hanging="403"/>
      </w:pPr>
      <w:r>
        <w:rPr>
          <w:rFonts w:ascii="Arial" w:hAnsi="Arial"/>
          <w:b w:val="0"/>
          <w:sz w:val="20"/>
        </w:rPr>
        <w:t xml:space="preserve">4.  </w:t>
      </w:r>
      <w:r>
        <w:rPr>
          <w:rFonts w:ascii="Arial" w:hAnsi="Arial"/>
          <w:b w:val="0"/>
          <w:sz w:val="20"/>
        </w:rPr>
        <w:t>Registrar fecha y hora de restablecimiento cuando existió indisponibilidad.</w:t>
      </w:r>
    </w:p>
    <w:p>
      <w:pPr>
        <w:spacing w:after="30" w:line="245" w:lineRule="auto"/>
        <w:ind w:left="403" w:hanging="403"/>
      </w:pPr>
      <w:r>
        <w:rPr>
          <w:rFonts w:ascii="Arial" w:hAnsi="Arial"/>
          <w:b w:val="0"/>
          <w:sz w:val="20"/>
        </w:rPr>
        <w:t xml:space="preserve">5.  </w:t>
      </w:r>
      <w:r>
        <w:rPr>
          <w:rFonts w:ascii="Arial" w:hAnsi="Arial"/>
          <w:b w:val="0"/>
          <w:sz w:val="20"/>
        </w:rPr>
        <w:t>Exigir prueba final o justificación de por qué no fue posible.</w:t>
      </w:r>
    </w:p>
    <w:p>
      <w:pPr>
        <w:spacing w:after="30" w:line="245" w:lineRule="auto"/>
        <w:ind w:left="403" w:hanging="403"/>
      </w:pPr>
      <w:r>
        <w:rPr>
          <w:rFonts w:ascii="Arial" w:hAnsi="Arial"/>
          <w:b w:val="0"/>
          <w:sz w:val="20"/>
        </w:rPr>
        <w:t xml:space="preserve">6.  </w:t>
      </w:r>
      <w:r>
        <w:rPr>
          <w:rFonts w:ascii="Arial" w:hAnsi="Arial"/>
          <w:b w:val="0"/>
          <w:sz w:val="20"/>
        </w:rPr>
        <w:t>Exigir infraestructura afectada o clasificación “red interna del cliente / no aplica”.</w:t>
      </w:r>
    </w:p>
    <w:p>
      <w:pPr>
        <w:spacing w:after="30" w:line="245" w:lineRule="auto"/>
        <w:ind w:left="403" w:hanging="403"/>
      </w:pPr>
      <w:r>
        <w:rPr>
          <w:rFonts w:ascii="Arial" w:hAnsi="Arial"/>
          <w:b w:val="0"/>
          <w:sz w:val="20"/>
        </w:rPr>
        <w:t xml:space="preserve">7.  </w:t>
      </w:r>
      <w:r>
        <w:rPr>
          <w:rFonts w:ascii="Arial" w:hAnsi="Arial"/>
          <w:b w:val="0"/>
          <w:sz w:val="20"/>
        </w:rPr>
        <w:t>Conservar validación del cliente separada de la restauración técnica.</w:t>
      </w:r>
    </w:p>
    <w:p>
      <w:pPr>
        <w:spacing w:after="30" w:line="245" w:lineRule="auto"/>
        <w:ind w:left="403" w:hanging="403"/>
      </w:pPr>
      <w:r>
        <w:rPr>
          <w:rFonts w:ascii="Arial" w:hAnsi="Arial"/>
          <w:b w:val="0"/>
          <w:sz w:val="20"/>
        </w:rPr>
        <w:t xml:space="preserve">8.  </w:t>
      </w:r>
      <w:r>
        <w:rPr>
          <w:rFonts w:ascii="Arial" w:hAnsi="Arial"/>
          <w:b w:val="0"/>
          <w:sz w:val="20"/>
        </w:rPr>
        <w:t>“Otro” siempre debe requerir explicación.</w:t>
      </w:r>
    </w:p>
    <w:p>
      <w:pPr>
        <w:spacing w:after="30" w:line="245" w:lineRule="auto"/>
        <w:ind w:left="403" w:hanging="403"/>
      </w:pPr>
      <w:r>
        <w:rPr>
          <w:rFonts w:ascii="Arial" w:hAnsi="Arial"/>
          <w:b w:val="0"/>
          <w:sz w:val="20"/>
        </w:rPr>
        <w:t xml:space="preserve">9.  </w:t>
      </w:r>
      <w:r>
        <w:rPr>
          <w:rFonts w:ascii="Arial" w:hAnsi="Arial"/>
          <w:b w:val="0"/>
          <w:sz w:val="20"/>
        </w:rPr>
        <w:t>Solución temporal, pendiente de tercero y no resuelto deben generar seguimiento o autorización.</w:t>
      </w:r>
    </w:p>
    <w:p>
      <w:pPr>
        <w:spacing w:after="30" w:line="245" w:lineRule="auto"/>
        <w:ind w:left="403" w:hanging="403"/>
      </w:pPr>
      <w:r>
        <w:rPr>
          <w:rFonts w:ascii="Arial" w:hAnsi="Arial"/>
          <w:b w:val="0"/>
          <w:sz w:val="20"/>
        </w:rPr>
        <w:t xml:space="preserve">10.  </w:t>
      </w:r>
      <w:r>
        <w:rPr>
          <w:rFonts w:ascii="Arial" w:hAnsi="Arial"/>
          <w:b w:val="0"/>
          <w:sz w:val="20"/>
        </w:rPr>
        <w:t>El cierre no debe borrar la causa sospechada, las intervenciones ni los estados anteriores.</w:t>
      </w:r>
    </w:p>
    <w:p>
      <w:pPr>
        <w:pStyle w:val="Heading1"/>
        <w:keepNext/>
        <w:spacing w:before="200" w:after="100"/>
      </w:pPr>
      <w:r>
        <w:rPr>
          <w:rFonts w:ascii="Arial" w:hAnsi="Arial" w:eastAsia="Arial"/>
          <w:b/>
          <w:color w:val="123B5D"/>
          <w:sz w:val="30"/>
        </w:rPr>
        <w:t>16. Duplicados, reincidencias e incidentes masivos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Función</w:t>
            </w:r>
          </w:p>
        </w:tc>
        <w:tc>
          <w:tcPr>
            <w:tcW w:type="dxa" w:w="748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Comportamiento requerido</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Prevención de duplicados</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Antes de crear, revisar tickets abiertos del mismo servicio e incidentes activos en su AP, PON, nodo o enlace.</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Reincidencia</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Identificar repeticiones por servicio, síntoma, causa o infraestructura en ventanas de 7, 30 y 90 días.</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Incidente padre</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Relacionar múltiples tickets individuales con una sola falla común de infraestructura.</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Servicios afectados</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Registrar cantidad confirmada o estimada y separar contactos recibidos de incidentes reales.</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Minutos-cliente</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Calcular servicios afectados × duración de la afectación.</w:t>
            </w:r>
          </w:p>
        </w:tc>
      </w:tr>
    </w:tbl>
    <w:p>
      <w:pPr>
        <w:spacing w:after="20"/>
      </w:pPr>
    </w:p>
    <w:p>
      <w:pPr>
        <w:pStyle w:val="Heading1"/>
        <w:keepNext/>
        <w:spacing w:before="200" w:after="100"/>
      </w:pPr>
      <w:r>
        <w:rPr>
          <w:rFonts w:ascii="Arial" w:hAnsi="Arial" w:eastAsia="Arial"/>
          <w:b/>
          <w:color w:val="123B5D"/>
          <w:sz w:val="30"/>
        </w:rPr>
        <w:t>17. Estadísticas y tableros requeridos</w:t>
      </w:r>
    </w:p>
    <w:p>
      <w:pPr>
        <w:keepNext w:val="0"/>
        <w:spacing w:after="100" w:line="269" w:lineRule="auto"/>
      </w:pPr>
      <w:r>
        <w:rPr>
          <w:rFonts w:ascii="Arial" w:hAnsi="Arial" w:eastAsia="Arial"/>
          <w:b w:val="0"/>
          <w:i w:val="0"/>
          <w:color w:val="3D4A52"/>
          <w:sz w:val="21"/>
        </w:rPr>
        <w:t>El rediseño debe permitir extraer, como mínimo:</w:t>
      </w:r>
    </w:p>
    <w:p>
      <w:pPr>
        <w:pStyle w:val="ListBullet"/>
        <w:spacing w:after="40" w:line="254" w:lineRule="auto"/>
      </w:pPr>
      <w:r>
        <w:rPr>
          <w:rFonts w:ascii="Arial" w:hAnsi="Arial" w:eastAsia="Arial"/>
          <w:b w:val="0"/>
          <w:i w:val="0"/>
          <w:color w:val="3D4A52"/>
          <w:sz w:val="21"/>
        </w:rPr>
        <w:t>Tickets por día, semana, mes, zona, nodo, AP, PON, tecnología, síntoma, causa, acción y resultado.</w:t>
      </w:r>
    </w:p>
    <w:p>
      <w:pPr>
        <w:pStyle w:val="ListBullet"/>
        <w:spacing w:after="40" w:line="254" w:lineRule="auto"/>
      </w:pPr>
      <w:r>
        <w:rPr>
          <w:rFonts w:ascii="Arial" w:hAnsi="Arial" w:eastAsia="Arial"/>
          <w:b w:val="0"/>
          <w:i w:val="0"/>
          <w:color w:val="3D4A52"/>
          <w:sz w:val="21"/>
        </w:rPr>
        <w:t>Tickets por cada 100 servicios activos, no solo cantidades absolutas.</w:t>
      </w:r>
    </w:p>
    <w:p>
      <w:pPr>
        <w:pStyle w:val="ListBullet"/>
        <w:spacing w:after="40" w:line="254" w:lineRule="auto"/>
      </w:pPr>
      <w:r>
        <w:rPr>
          <w:rFonts w:ascii="Arial" w:hAnsi="Arial" w:eastAsia="Arial"/>
          <w:b w:val="0"/>
          <w:i w:val="0"/>
          <w:color w:val="3D4A52"/>
          <w:sz w:val="21"/>
        </w:rPr>
        <w:t>Tiempo de primera atención, diagnóstico, asignación, llegada, restablecimiento, cierre e indisponibilidad.</w:t>
      </w:r>
    </w:p>
    <w:p>
      <w:pPr>
        <w:pStyle w:val="ListBullet"/>
        <w:spacing w:after="40" w:line="254" w:lineRule="auto"/>
      </w:pPr>
      <w:r>
        <w:rPr>
          <w:rFonts w:ascii="Arial" w:hAnsi="Arial" w:eastAsia="Arial"/>
          <w:b w:val="0"/>
          <w:i w:val="0"/>
          <w:color w:val="3D4A52"/>
          <w:sz w:val="21"/>
        </w:rPr>
        <w:t>Mediana, P90 y P95 además del promedio.</w:t>
      </w:r>
    </w:p>
    <w:p>
      <w:pPr>
        <w:pStyle w:val="ListBullet"/>
        <w:spacing w:after="40" w:line="254" w:lineRule="auto"/>
      </w:pPr>
      <w:r>
        <w:rPr>
          <w:rFonts w:ascii="Arial" w:hAnsi="Arial" w:eastAsia="Arial"/>
          <w:b w:val="0"/>
          <w:i w:val="0"/>
          <w:color w:val="3D4A52"/>
          <w:sz w:val="21"/>
        </w:rPr>
        <w:t>Reincidencia a 7, 30 y 90 días.</w:t>
      </w:r>
    </w:p>
    <w:p>
      <w:pPr>
        <w:pStyle w:val="ListBullet"/>
        <w:spacing w:after="40" w:line="254" w:lineRule="auto"/>
      </w:pPr>
      <w:r>
        <w:rPr>
          <w:rFonts w:ascii="Arial" w:hAnsi="Arial" w:eastAsia="Arial"/>
          <w:b w:val="0"/>
          <w:i w:val="0"/>
          <w:color w:val="3D4A52"/>
          <w:sz w:val="21"/>
        </w:rPr>
        <w:t>Resolución remota, en primera visita y después de múltiples intervenciones.</w:t>
      </w:r>
    </w:p>
    <w:p>
      <w:pPr>
        <w:pStyle w:val="ListBullet"/>
        <w:spacing w:after="40" w:line="254" w:lineRule="auto"/>
      </w:pPr>
      <w:r>
        <w:rPr>
          <w:rFonts w:ascii="Arial" w:hAnsi="Arial" w:eastAsia="Arial"/>
          <w:b w:val="0"/>
          <w:i w:val="0"/>
          <w:color w:val="3D4A52"/>
          <w:sz w:val="21"/>
        </w:rPr>
        <w:t>Reaperturas y soluciones temporales.</w:t>
      </w:r>
    </w:p>
    <w:p>
      <w:pPr>
        <w:pStyle w:val="ListBullet"/>
        <w:spacing w:after="40" w:line="254" w:lineRule="auto"/>
      </w:pPr>
      <w:r>
        <w:rPr>
          <w:rFonts w:ascii="Arial" w:hAnsi="Arial" w:eastAsia="Arial"/>
          <w:b w:val="0"/>
          <w:i w:val="0"/>
          <w:color w:val="3D4A52"/>
          <w:sz w:val="21"/>
        </w:rPr>
        <w:t>Fallas atribuibles a red ISP, red interna del cliente, estado comercial, tercero o sin causa confirmada.</w:t>
      </w:r>
    </w:p>
    <w:p>
      <w:pPr>
        <w:pStyle w:val="ListBullet"/>
        <w:spacing w:after="40" w:line="254" w:lineRule="auto"/>
      </w:pPr>
      <w:r>
        <w:rPr>
          <w:rFonts w:ascii="Arial" w:hAnsi="Arial" w:eastAsia="Arial"/>
          <w:b w:val="0"/>
          <w:i w:val="0"/>
          <w:color w:val="3D4A52"/>
          <w:sz w:val="21"/>
        </w:rPr>
        <w:t>Pareto de causas y materiales/equipos reemplazados.</w:t>
      </w:r>
    </w:p>
    <w:p>
      <w:pPr>
        <w:pStyle w:val="ListBullet"/>
        <w:spacing w:after="40" w:line="254" w:lineRule="auto"/>
      </w:pPr>
      <w:r>
        <w:rPr>
          <w:rFonts w:ascii="Arial" w:hAnsi="Arial" w:eastAsia="Arial"/>
          <w:b w:val="0"/>
          <w:i w:val="0"/>
          <w:color w:val="3D4A52"/>
          <w:sz w:val="21"/>
        </w:rPr>
        <w:t>Incidentes reales, contactos asociados, servicios afectados y minutos-cliente.</w:t>
      </w:r>
    </w:p>
    <w:p>
      <w:pPr>
        <w:pStyle w:val="ListBullet"/>
        <w:spacing w:after="40" w:line="254" w:lineRule="auto"/>
      </w:pPr>
      <w:r>
        <w:rPr>
          <w:rFonts w:ascii="Arial" w:hAnsi="Arial" w:eastAsia="Arial"/>
          <w:b w:val="0"/>
          <w:i w:val="0"/>
          <w:color w:val="3D4A52"/>
          <w:sz w:val="21"/>
        </w:rPr>
        <w:t>Calidad de diligenciamiento: tickets sin causa, sin pruebas, sin infraestructura o con exceso de “Otro”.</w:t>
      </w:r>
    </w:p>
    <w:p>
      <w:pPr>
        <w:pStyle w:val="Heading1"/>
        <w:keepNext/>
        <w:pageBreakBefore w:val="0"/>
        <w:spacing w:before="200" w:after="100"/>
      </w:pPr>
      <w:r>
        <w:rPr>
          <w:rFonts w:ascii="Arial" w:hAnsi="Arial" w:eastAsia="Arial"/>
          <w:b/>
          <w:color w:val="123B5D"/>
          <w:sz w:val="30"/>
        </w:rPr>
        <w:t>18. Roles, permisos y auditoría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Rol orientativo</w:t>
            </w:r>
          </w:p>
        </w:tc>
        <w:tc>
          <w:tcPr>
            <w:tcW w:type="dxa" w:w="748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Capacidades</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Recepción / N1</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Crear, clasificar, registrar pruebas básicas, vincular duplicados y escalar.</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N2 / soporte técnico</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Diagnóstico avanzado, causa sospechada, intervenciones remotas y asociación de infraestructura.</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Técnico de campo</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Visita, evidencias, materiales, equipos, pruebas finales y propuesta de cierre.</w:t>
            </w:r>
          </w:p>
        </w:tc>
      </w:tr>
      <w:tr>
        <w:trPr>
          <w:cantSplit/>
        </w:trPr>
        <w:tc>
          <w:tcPr>
            <w:tcW w:type="dxa" w:w="223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Supervisor</w:t>
            </w:r>
          </w:p>
        </w:tc>
        <w:tc>
          <w:tcPr>
            <w:tcW w:type="dxa" w:w="748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Prioridad, reasignación, confirmación de causa, excepciones, cierre especial, incidentes masivos.</w:t>
            </w:r>
          </w:p>
        </w:tc>
      </w:tr>
      <w:tr>
        <w:trPr>
          <w:cantSplit/>
        </w:trPr>
        <w:tc>
          <w:tcPr>
            <w:tcW w:type="dxa" w:w="223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Auditor / gerencia</w:t>
            </w:r>
          </w:p>
        </w:tc>
        <w:tc>
          <w:tcPr>
            <w:tcW w:type="dxa" w:w="748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Consulta, exportación, tableros, trazabilidad y revisión sin alterar el expediente.</w:t>
            </w:r>
          </w:p>
        </w:tc>
      </w:tr>
    </w:tbl>
    <w:p>
      <w:pPr>
        <w:spacing w:after="20"/>
      </w:pPr>
    </w:p>
    <w:p>
      <w:pPr>
        <w:keepNext w:val="0"/>
        <w:spacing w:after="100" w:line="269" w:lineRule="auto"/>
      </w:pPr>
      <w:r>
        <w:rPr>
          <w:rFonts w:ascii="Arial" w:hAnsi="Arial" w:eastAsia="Arial"/>
          <w:b w:val="0"/>
          <w:i w:val="0"/>
          <w:color w:val="3D4A52"/>
          <w:sz w:val="21"/>
        </w:rPr>
        <w:t>Cada cambio debe conservar fecha/hora, usuario o aplicación, estado anterior/nuevo, campo modificado y valores anteriores/nuevos. La auditoría no debe ser editable desde la operación ordinaria.</w:t>
      </w:r>
    </w:p>
    <w:p>
      <w:pPr>
        <w:pStyle w:val="Heading1"/>
        <w:keepNext/>
        <w:pageBreakBefore/>
        <w:spacing w:before="200" w:after="100"/>
      </w:pPr>
      <w:r>
        <w:rPr>
          <w:rFonts w:ascii="Arial" w:hAnsi="Arial" w:eastAsia="Arial"/>
          <w:b/>
          <w:color w:val="123B5D"/>
          <w:sz w:val="30"/>
        </w:rPr>
        <w:t>19. Criterios de aceptación de la Solicitud 1</w:t>
      </w:r>
    </w:p>
    <w:p>
      <w:pPr>
        <w:spacing w:after="30" w:line="245" w:lineRule="auto"/>
        <w:ind w:left="403" w:hanging="403"/>
      </w:pPr>
      <w:r>
        <w:rPr>
          <w:rFonts w:ascii="Arial" w:hAnsi="Arial"/>
          <w:b w:val="0"/>
          <w:sz w:val="20"/>
        </w:rPr>
        <w:t xml:space="preserve">1.  </w:t>
      </w:r>
      <w:r>
        <w:rPr>
          <w:rFonts w:ascii="Arial" w:hAnsi="Arial"/>
          <w:b w:val="0"/>
          <w:sz w:val="20"/>
        </w:rPr>
        <w:t>Todo ticket queda asociado a un cliente y a un servicio específico.</w:t>
      </w:r>
    </w:p>
    <w:p>
      <w:pPr>
        <w:spacing w:after="30" w:line="245" w:lineRule="auto"/>
        <w:ind w:left="403" w:hanging="403"/>
      </w:pPr>
      <w:r>
        <w:rPr>
          <w:rFonts w:ascii="Arial" w:hAnsi="Arial"/>
          <w:b w:val="0"/>
          <w:sz w:val="20"/>
        </w:rPr>
        <w:t xml:space="preserve">2.  </w:t>
      </w:r>
      <w:r>
        <w:rPr>
          <w:rFonts w:ascii="Arial" w:hAnsi="Arial"/>
          <w:b w:val="0"/>
          <w:sz w:val="20"/>
        </w:rPr>
        <w:t>El módulo impide mezclar instalaciones, traslados, retiros y procesos comerciales.</w:t>
      </w:r>
    </w:p>
    <w:p>
      <w:pPr>
        <w:spacing w:after="30" w:line="245" w:lineRule="auto"/>
        <w:ind w:left="403" w:hanging="403"/>
      </w:pPr>
      <w:r>
        <w:rPr>
          <w:rFonts w:ascii="Arial" w:hAnsi="Arial"/>
          <w:b w:val="0"/>
          <w:sz w:val="20"/>
        </w:rPr>
        <w:t xml:space="preserve">3.  </w:t>
      </w:r>
      <w:r>
        <w:rPr>
          <w:rFonts w:ascii="Arial" w:hAnsi="Arial"/>
          <w:b w:val="0"/>
          <w:sz w:val="20"/>
        </w:rPr>
        <w:t>Síntoma, causa confirmada, acción y resultado son campos independientes.</w:t>
      </w:r>
    </w:p>
    <w:p>
      <w:pPr>
        <w:spacing w:after="30" w:line="245" w:lineRule="auto"/>
        <w:ind w:left="403" w:hanging="403"/>
      </w:pPr>
      <w:r>
        <w:rPr>
          <w:rFonts w:ascii="Arial" w:hAnsi="Arial"/>
          <w:b w:val="0"/>
          <w:sz w:val="20"/>
        </w:rPr>
        <w:t xml:space="preserve">4.  </w:t>
      </w:r>
      <w:r>
        <w:rPr>
          <w:rFonts w:ascii="Arial" w:hAnsi="Arial"/>
          <w:b w:val="0"/>
          <w:sz w:val="20"/>
        </w:rPr>
        <w:t>Los campos cambian según radio o FTTH sin mostrar formularios innecesarios.</w:t>
      </w:r>
    </w:p>
    <w:p>
      <w:pPr>
        <w:spacing w:after="30" w:line="245" w:lineRule="auto"/>
        <w:ind w:left="403" w:hanging="403"/>
      </w:pPr>
      <w:r>
        <w:rPr>
          <w:rFonts w:ascii="Arial" w:hAnsi="Arial"/>
          <w:b w:val="0"/>
          <w:sz w:val="20"/>
        </w:rPr>
        <w:t xml:space="preserve">5.  </w:t>
      </w:r>
      <w:r>
        <w:rPr>
          <w:rFonts w:ascii="Arial" w:hAnsi="Arial"/>
          <w:b w:val="0"/>
          <w:sz w:val="20"/>
        </w:rPr>
        <w:t>Los estados y timestamps se conservan sin sobrescritura.</w:t>
      </w:r>
    </w:p>
    <w:p>
      <w:pPr>
        <w:spacing w:after="30" w:line="245" w:lineRule="auto"/>
        <w:ind w:left="403" w:hanging="403"/>
      </w:pPr>
      <w:r>
        <w:rPr>
          <w:rFonts w:ascii="Arial" w:hAnsi="Arial"/>
          <w:b w:val="0"/>
          <w:sz w:val="20"/>
        </w:rPr>
        <w:t xml:space="preserve">6.  </w:t>
      </w:r>
      <w:r>
        <w:rPr>
          <w:rFonts w:ascii="Arial" w:hAnsi="Arial"/>
          <w:b w:val="0"/>
          <w:sz w:val="20"/>
        </w:rPr>
        <w:t>Un ticket puede contener varias intervenciones y evidencias.</w:t>
      </w:r>
    </w:p>
    <w:p>
      <w:pPr>
        <w:spacing w:after="30" w:line="245" w:lineRule="auto"/>
        <w:ind w:left="403" w:hanging="403"/>
      </w:pPr>
      <w:r>
        <w:rPr>
          <w:rFonts w:ascii="Arial" w:hAnsi="Arial"/>
          <w:b w:val="0"/>
          <w:sz w:val="20"/>
        </w:rPr>
        <w:t xml:space="preserve">7.  </w:t>
      </w:r>
      <w:r>
        <w:rPr>
          <w:rFonts w:ascii="Arial" w:hAnsi="Arial"/>
          <w:b w:val="0"/>
          <w:sz w:val="20"/>
        </w:rPr>
        <w:t>El sistema detecta tickets abiertos del mismo servicio y permite vincular duplicados.</w:t>
      </w:r>
    </w:p>
    <w:p>
      <w:pPr>
        <w:spacing w:after="30" w:line="245" w:lineRule="auto"/>
        <w:ind w:left="403" w:hanging="403"/>
      </w:pPr>
      <w:r>
        <w:rPr>
          <w:rFonts w:ascii="Arial" w:hAnsi="Arial"/>
          <w:b w:val="0"/>
          <w:sz w:val="20"/>
        </w:rPr>
        <w:t xml:space="preserve">8.  </w:t>
      </w:r>
      <w:r>
        <w:rPr>
          <w:rFonts w:ascii="Arial" w:hAnsi="Arial"/>
          <w:b w:val="0"/>
          <w:sz w:val="20"/>
        </w:rPr>
        <w:t>Se pueden crear incidentes padres y relacionar tickets individuales.</w:t>
      </w:r>
    </w:p>
    <w:p>
      <w:pPr>
        <w:spacing w:after="30" w:line="245" w:lineRule="auto"/>
        <w:ind w:left="403" w:hanging="403"/>
      </w:pPr>
      <w:r>
        <w:rPr>
          <w:rFonts w:ascii="Arial" w:hAnsi="Arial"/>
          <w:b w:val="0"/>
          <w:sz w:val="20"/>
        </w:rPr>
        <w:t xml:space="preserve">9.  </w:t>
      </w:r>
      <w:r>
        <w:rPr>
          <w:rFonts w:ascii="Arial" w:hAnsi="Arial"/>
          <w:b w:val="0"/>
          <w:sz w:val="20"/>
        </w:rPr>
        <w:t>El cierre incompleto queda bloqueado o requiere una excepción auditada.</w:t>
      </w:r>
    </w:p>
    <w:p>
      <w:pPr>
        <w:spacing w:after="30" w:line="245" w:lineRule="auto"/>
        <w:ind w:left="403" w:hanging="403"/>
      </w:pPr>
      <w:r>
        <w:rPr>
          <w:rFonts w:ascii="Arial" w:hAnsi="Arial"/>
          <w:b w:val="0"/>
          <w:sz w:val="20"/>
        </w:rPr>
        <w:t xml:space="preserve">10.  </w:t>
      </w:r>
      <w:r>
        <w:rPr>
          <w:rFonts w:ascii="Arial" w:hAnsi="Arial"/>
          <w:b w:val="0"/>
          <w:sz w:val="20"/>
        </w:rPr>
        <w:t>La información puede exportarse de forma completa y filtrarse por infraestructura.</w:t>
      </w:r>
    </w:p>
    <w:p>
      <w:pPr>
        <w:spacing w:after="30" w:line="245" w:lineRule="auto"/>
        <w:ind w:left="403" w:hanging="403"/>
      </w:pPr>
      <w:r>
        <w:rPr>
          <w:rFonts w:ascii="Arial" w:hAnsi="Arial"/>
          <w:b w:val="0"/>
          <w:sz w:val="20"/>
        </w:rPr>
        <w:t xml:space="preserve">11.  </w:t>
      </w:r>
      <w:r>
        <w:rPr>
          <w:rFonts w:ascii="Arial" w:hAnsi="Arial"/>
          <w:b w:val="0"/>
          <w:sz w:val="20"/>
        </w:rPr>
        <w:t>La zona horaria opera correctamente en America/Bogota.</w:t>
      </w:r>
    </w:p>
    <w:p>
      <w:pPr>
        <w:spacing w:after="30" w:line="245" w:lineRule="auto"/>
        <w:ind w:left="403" w:hanging="403"/>
      </w:pPr>
      <w:r>
        <w:rPr>
          <w:rFonts w:ascii="Arial" w:hAnsi="Arial"/>
          <w:b w:val="0"/>
          <w:sz w:val="20"/>
        </w:rPr>
        <w:t xml:space="preserve">12.  </w:t>
      </w:r>
      <w:r>
        <w:rPr>
          <w:rFonts w:ascii="Arial" w:hAnsi="Arial"/>
          <w:b w:val="0"/>
          <w:sz w:val="20"/>
        </w:rPr>
        <w:t>El diseño es compatible con la futura API de la Solicitud 2.</w:t>
      </w:r>
    </w:p>
    <w:p>
      <w:pPr/>
      <w:r>
        <w:t>13.  Cada campo, catálogo, estado y transición tendrá código técnico estable, versión y semántica documentada.</w:t>
      </w:r>
    </w:p>
    <w:p>
      <w:pPr/>
      <w:r>
        <w:t>14.  Los datos necesarios para la integración estarán expuestos por la API/OpenAPI o ISPwash declarará expresamente la limitación; no deben quedar disponibles únicamente en la interfaz gráfica.</w:t>
      </w:r>
    </w:p>
    <w:p>
      <w:pPr>
        <w:pStyle w:val="Heading1"/>
        <w:keepNext/>
        <w:spacing w:before="200" w:after="100"/>
      </w:pPr>
      <w:r>
        <w:rPr>
          <w:rFonts w:ascii="Arial" w:hAnsi="Arial" w:eastAsia="Arial"/>
          <w:b/>
          <w:color w:val="123B5D"/>
          <w:sz w:val="30"/>
        </w:rPr>
        <w:t>20. Entregables solicitados a ISPwash – Fase 1</w:t>
      </w:r>
    </w:p>
    <w:p>
      <w:pPr>
        <w:pStyle w:val="ListBullet"/>
        <w:spacing w:after="40" w:line="254" w:lineRule="auto"/>
      </w:pPr>
      <w:r>
        <w:rPr>
          <w:rFonts w:ascii="Arial" w:hAnsi="Arial" w:eastAsia="Arial"/>
          <w:b w:val="0"/>
          <w:i w:val="0"/>
          <w:color w:val="3D4A52"/>
          <w:sz w:val="21"/>
        </w:rPr>
        <w:t>Documento de solución funcional propuesto.</w:t>
      </w:r>
    </w:p>
    <w:p>
      <w:pPr>
        <w:pStyle w:val="ListBullet"/>
        <w:spacing w:after="40" w:line="254" w:lineRule="auto"/>
      </w:pPr>
      <w:r>
        <w:rPr>
          <w:rFonts w:ascii="Arial" w:hAnsi="Arial" w:eastAsia="Arial"/>
          <w:b w:val="0"/>
          <w:i w:val="0"/>
          <w:color w:val="3D4A52"/>
          <w:sz w:val="21"/>
        </w:rPr>
        <w:t>Prototipo o maqueta de pantallas y flujo.</w:t>
      </w:r>
    </w:p>
    <w:p>
      <w:pPr>
        <w:pStyle w:val="ListBullet"/>
        <w:spacing w:after="40" w:line="254" w:lineRule="auto"/>
      </w:pPr>
      <w:r>
        <w:rPr>
          <w:rFonts w:ascii="Arial" w:hAnsi="Arial" w:eastAsia="Arial"/>
          <w:b w:val="0"/>
          <w:i w:val="0"/>
          <w:color w:val="3D4A52"/>
          <w:sz w:val="21"/>
        </w:rPr>
        <w:t>Matriz de campos estándar y personalizados.</w:t>
      </w:r>
    </w:p>
    <w:p>
      <w:pPr>
        <w:pStyle w:val="ListBullet"/>
        <w:spacing w:after="40" w:line="254" w:lineRule="auto"/>
      </w:pPr>
      <w:r>
        <w:rPr>
          <w:rFonts w:ascii="Arial" w:hAnsi="Arial" w:eastAsia="Arial"/>
          <w:b w:val="0"/>
          <w:i w:val="0"/>
          <w:color w:val="3D4A52"/>
          <w:sz w:val="21"/>
        </w:rPr>
        <w:t>Catálogos, estados, transiciones y reglas de obligatoriedad.</w:t>
      </w:r>
    </w:p>
    <w:p>
      <w:pPr>
        <w:pStyle w:val="ListBullet"/>
        <w:spacing w:after="40" w:line="254" w:lineRule="auto"/>
      </w:pPr>
      <w:r>
        <w:rPr>
          <w:rFonts w:ascii="Arial" w:hAnsi="Arial" w:eastAsia="Arial"/>
          <w:b w:val="0"/>
          <w:i w:val="0"/>
          <w:color w:val="3D4A52"/>
          <w:sz w:val="21"/>
        </w:rPr>
        <w:t>Modelo de permisos y auditoría.</w:t>
      </w:r>
    </w:p>
    <w:p>
      <w:pPr>
        <w:pStyle w:val="ListBullet"/>
        <w:spacing w:after="40" w:line="254" w:lineRule="auto"/>
      </w:pPr>
      <w:r>
        <w:rPr>
          <w:rFonts w:ascii="Arial" w:hAnsi="Arial" w:eastAsia="Arial"/>
          <w:b w:val="0"/>
          <w:i w:val="0"/>
          <w:color w:val="3D4A52"/>
          <w:sz w:val="21"/>
        </w:rPr>
        <w:t>Diseño de incidentes masivos, duplicados y reincidencias.</w:t>
      </w:r>
    </w:p>
    <w:p>
      <w:pPr>
        <w:pStyle w:val="ListBullet"/>
        <w:spacing w:after="40" w:line="254" w:lineRule="auto"/>
      </w:pPr>
      <w:r>
        <w:rPr>
          <w:rFonts w:ascii="Arial" w:hAnsi="Arial" w:eastAsia="Arial"/>
          <w:b w:val="0"/>
          <w:i w:val="0"/>
          <w:color w:val="3D4A52"/>
          <w:sz w:val="21"/>
        </w:rPr>
        <w:t>Diseño de reportes y exportaciones.</w:t>
      </w:r>
    </w:p>
    <w:p>
      <w:pPr>
        <w:pStyle w:val="ListBullet"/>
        <w:spacing w:after="40" w:line="254" w:lineRule="auto"/>
      </w:pPr>
      <w:r>
        <w:rPr>
          <w:rFonts w:ascii="Arial" w:hAnsi="Arial" w:eastAsia="Arial"/>
          <w:b w:val="0"/>
          <w:i w:val="0"/>
          <w:color w:val="3D4A52"/>
          <w:sz w:val="21"/>
        </w:rPr>
        <w:t>Ambiente de prueba con datos ficticios.</w:t>
      </w:r>
    </w:p>
    <w:p>
      <w:pPr>
        <w:pStyle w:val="ListBullet"/>
        <w:spacing w:after="40" w:line="254" w:lineRule="auto"/>
      </w:pPr>
      <w:r>
        <w:rPr>
          <w:rFonts w:ascii="Arial" w:hAnsi="Arial" w:eastAsia="Arial"/>
          <w:b w:val="0"/>
          <w:i w:val="0"/>
          <w:color w:val="3D4A52"/>
          <w:sz w:val="21"/>
        </w:rPr>
        <w:t>Plan de migración o convivencia con tickets históricos.</w:t>
      </w:r>
    </w:p>
    <w:p>
      <w:pPr>
        <w:pStyle w:val="ListBullet"/>
        <w:spacing w:after="40" w:line="254" w:lineRule="auto"/>
      </w:pPr>
      <w:r>
        <w:rPr>
          <w:rFonts w:ascii="Arial" w:hAnsi="Arial" w:eastAsia="Arial"/>
          <w:b w:val="0"/>
          <w:i w:val="0"/>
          <w:color w:val="3D4A52"/>
          <w:sz w:val="21"/>
        </w:rPr>
        <w:t>Costos, licencias, dependencias y propuesta de ejecución.</w:t>
      </w:r>
    </w:p>
    <w:p>
      <w:pPr>
        <w:pStyle w:val="ListBullet"/>
        <w:spacing w:after="40" w:line="254" w:lineRule="auto"/>
      </w:pPr>
      <w:r>
        <w:rPr>
          <w:rFonts w:ascii="Arial" w:hAnsi="Arial" w:eastAsia="Arial"/>
          <w:b w:val="0"/>
          <w:i w:val="0"/>
          <w:color w:val="3D4A52"/>
          <w:sz w:val="21"/>
        </w:rPr>
        <w:t>Criterios y protocolo de aceptación funcional.</w:t>
      </w:r>
    </w:p>
    <w:p>
      <w:pPr>
        <w:pStyle w:val="ListBullet"/>
      </w:pPr>
      <w:r>
        <w:t>Diccionario de datos versionado con códigos técnicos estables.</w:t>
      </w:r>
    </w:p>
    <w:p>
      <w:pPr>
        <w:pStyle w:val="ListBullet"/>
      </w:pPr>
      <w:r>
        <w:t>Matriz de exposición API de cada campo, catálogo, estado y transición del ticket reestructurado.</w:t>
      </w:r>
    </w:p>
    <w:p>
      <w:r>
        <w:br w:type="page"/>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pPr>
              <w:jc w:val="center"/>
            </w:pPr>
            <w:r>
              <w:rPr>
                <w:rFonts w:ascii="Arial" w:hAnsi="Arial" w:eastAsia="Arial"/>
                <w:b/>
                <w:i w:val="0"/>
                <w:color w:val="FFFFFF"/>
                <w:sz w:val="22"/>
              </w:rPr>
              <w:t>SOLICITUD 2 · INTEGRACIÓN API CON COLOMBIANETDIAGNOSTICO</w:t>
            </w:r>
          </w:p>
        </w:tc>
      </w:tr>
    </w:tbl>
    <w:p>
      <w:pPr>
        <w:spacing w:after="20"/>
      </w:pPr>
    </w:p>
    <w:p>
      <w:pPr>
        <w:pStyle w:val="Heading1"/>
        <w:keepNext/>
        <w:spacing w:before="200" w:after="100"/>
      </w:pPr>
      <w:r>
        <w:rPr>
          <w:rFonts w:ascii="Arial" w:hAnsi="Arial" w:eastAsia="Arial"/>
          <w:b/>
          <w:color w:val="123B5D"/>
          <w:sz w:val="30"/>
        </w:rPr>
        <w:t>21. Condición de inicio</w:t>
      </w:r>
    </w:p>
    <w:p>
      <w:pPr>
        <w:keepNext w:val="0"/>
        <w:spacing w:after="100" w:line="269" w:lineRule="auto"/>
      </w:pPr>
      <w:r>
        <w:t>La Solicitud 2 se divide en una subfase contractual y otra operativa. La Subfase 2A no debe esperar la reestructuración funcional: ISPwash puede entregar de inmediato la documentación oficial sanitizada para validar la viabilidad y detectar brechas. La Subfase 2B sí requiere el modelo de ticket aprobado, catálogos versionados y un mapeo CNO ↔ ISPwash revisado manualmente. No se desarrollarán adaptadores sobre endpoints, campos o semánticas supuestas.</w:t>
      </w:r>
    </w:p>
    <w:p>
      <w:pPr>
        <w:pStyle w:val="Heading2"/>
      </w:pPr>
      <w:r>
        <w:t>21.1. Subfase 2A — Descubrimiento contractual inmediato</w:t>
      </w:r>
    </w:p>
    <w:p>
      <w:pPr/>
      <w:r>
        <w:t>ISPwash entregará el contrato oficial API/OpenAPI sanitizado, sus ambientes, autenticación, identificadores estables, catálogos, ejemplos y reglas operativas. CNO lo analizará localmente, sin persistir el archivo, sin llamadas salientes y sin generar automáticamente equivalencias de campos.</w:t>
      </w:r>
    </w:p>
    <w:p>
      <w:pPr>
        <w:pStyle w:val="Heading2"/>
      </w:pPr>
      <w:r>
        <w:t>21.2. Subfase 2B — Integración operativa posterior</w:t>
      </w:r>
    </w:p>
    <w:p>
      <w:pPr/>
      <w:r>
        <w:t>Después de aprobar la Solicitud 1 y el mapeo contractual, la integración comenzará en modo de solo lectura. Posteriormente podrán habilitarse, de forma independiente, operaciones controladas para publicar diagnósticos, comentarios o evidencias en tickets existentes. Crear tickets, cambiar su estado, reabrirlos o cerrarlos por API no forma parte del P0 inicial y requerirá aprobación explícita.</w:t>
      </w:r>
    </w:p>
    <w:p>
      <w:pPr>
        <w:pStyle w:val="Heading2"/>
      </w:pPr>
      <w:r>
        <w:t>21.3. Estado técnico confirmado de ColombiaNetDiagnostico</w:t>
      </w:r>
    </w:p>
    <w:p>
      <w:pPr/>
      <w:r>
        <w:t>La plataforma ya dispone de contexto de soporte protegido, administración segura de mapeos de routers lógicos, matriz de roles y un analizador local de contratos OpenAPI. El adaptador permanece en estado PENDING_PROVIDER_CONTRACT. Continúan deshabilitadas las llamadas de red a ISPwash, las escrituras de tickets y abonados, la sincronización del ciclo de vida, la ejecución de backends y las escrituras RouterOS.</w:t>
      </w:r>
    </w:p>
    <w:tbl>
      <w:tblPr>
        <w:tblW w:type="auto" w:w="0"/>
        <w:jc w:val="center"/>
        <w:tblLayout w:type="fixed"/>
        <w:tblLook w:firstColumn="1" w:firstRow="1" w:lastColumn="0" w:lastRow="0" w:noHBand="0" w:noVBand="1" w:val="04A0"/>
      </w:tblPr>
      <w:tblGrid>
        <w:gridCol w:w="10166"/>
      </w:tblGrid>
      <w:tr>
        <w:tc>
          <w:tcPr>
            <w:tcW w:type="dxa" w:w="9720"/>
            <w:shd w:fill="E8F3F3"/>
            <w:tcMar>
              <w:top w:w="130" w:type="dxa"/>
              <w:start w:w="160" w:type="dxa"/>
              <w:bottom w:w="130" w:type="dxa"/>
              <w:end w:w="160" w:type="dxa"/>
            </w:tcMar>
            <w:tcBorders>
              <w:top w:val="single" w:sz="8" w:color="1F6F78"/>
              <w:left w:val="single" w:sz="12" w:color="1F6F78"/>
              <w:bottom w:val="single" w:sz="4" w:color="C6D5DC"/>
              <w:right w:val="single" w:sz="4" w:color="C6D5DC"/>
            </w:tcBorders>
          </w:tcPr>
          <w:p>
            <w:r>
              <w:rPr>
                <w:rFonts w:ascii="Arial" w:hAnsi="Arial" w:eastAsia="Arial"/>
                <w:b/>
                <w:sz w:val="18"/>
              </w:rPr>
              <w:t>IMPLICACIÓN OPERATIVA</w:t>
            </w:r>
            <w:r>
              <w:rPr>
                <w:rFonts w:ascii="Arial" w:hAnsi="Arial" w:eastAsia="Arial"/>
                <w:b w:val="0"/>
                <w:sz w:val="17"/>
              </w:rPr>
              <w:br/>
              <w:t>La solicitud inmediata a ISPwash es la entrega del contrato oficial sanitizado y la información de sandbox. No se solicita todavía activación productiva, sincronización de tickets ni credenciales con permisos de escritura.</w:t>
            </w:r>
          </w:p>
        </w:tc>
      </w:tr>
    </w:tbl>
    <w:p>
      <w:pPr>
        <w:pStyle w:val="Heading1"/>
        <w:keepNext/>
        <w:spacing w:before="200" w:after="100"/>
      </w:pPr>
      <w:r>
        <w:rPr>
          <w:rFonts w:ascii="Arial" w:hAnsi="Arial" w:eastAsia="Arial"/>
          <w:b/>
          <w:color w:val="123B5D"/>
          <w:sz w:val="30"/>
        </w:rPr>
        <w:t>22. Objetivo de la integración</w:t>
      </w:r>
    </w:p>
    <w:p>
      <w:pPr>
        <w:keepNext w:val="0"/>
        <w:spacing w:after="100" w:line="269" w:lineRule="auto"/>
      </w:pPr>
      <w:r>
        <w:rPr>
          <w:rFonts w:ascii="Arial" w:hAnsi="Arial" w:eastAsia="Arial"/>
          <w:b w:val="0"/>
          <w:i w:val="0"/>
          <w:color w:val="3D4A52"/>
          <w:sz w:val="21"/>
        </w:rPr>
        <w:t>Conectar ISPwash con ColombiaNetDiagnostico por API HTTPS para que la plataforma pueda consultar el ticket y el servicio, resolver la infraestructura, ejecutar diagnósticos de solo lectura, conservar evidencia técnica y publicar resúmenes estructurados en el único expediente oficial de ISPwash.</w:t>
      </w:r>
    </w:p>
    <w:tbl>
      <w:tblPr>
        <w:tblW w:type="auto" w:w="0"/>
        <w:jc w:val="center"/>
        <w:tblLayout w:type="fixed"/>
        <w:tblLook w:firstColumn="1" w:firstRow="1" w:lastColumn="0" w:lastRow="0" w:noHBand="0" w:noVBand="1" w:val="04A0"/>
      </w:tblPr>
      <w:tblGrid>
        <w:gridCol w:w="10166"/>
      </w:tblGrid>
      <w:tr>
        <w:tc>
          <w:tcPr>
            <w:tcW w:type="dxa" w:w="9720"/>
            <w:shd w:fill="E8F3F3"/>
            <w:tcMar>
              <w:top w:w="130" w:type="dxa"/>
              <w:start w:w="160" w:type="dxa"/>
              <w:bottom w:w="130" w:type="dxa"/>
              <w:end w:w="160" w:type="dxa"/>
            </w:tcMar>
            <w:tcBorders>
              <w:top w:val="single" w:sz="8" w:color="1F6F78"/>
              <w:left w:val="single" w:sz="12" w:color="1F6F78"/>
              <w:bottom w:val="single" w:sz="4" w:color="C6D5DC"/>
              <w:right w:val="single" w:sz="4" w:color="C6D5DC"/>
            </w:tcBorders>
          </w:tcPr>
          <w:p>
            <w:pPr>
              <w:spacing w:after="40"/>
            </w:pPr>
            <w:r>
              <w:rPr>
                <w:rFonts w:ascii="Arial" w:hAnsi="Arial" w:eastAsia="Arial"/>
                <w:b/>
                <w:i w:val="0"/>
                <w:color w:val="1F6F78"/>
                <w:sz w:val="21"/>
              </w:rPr>
              <w:t>REGLA DE ARQUITECTURA</w:t>
            </w:r>
          </w:p>
          <w:p>
            <w:pPr>
              <w:spacing w:after="0" w:line="259" w:lineRule="auto"/>
            </w:pPr>
            <w:r>
              <w:rPr>
                <w:rFonts w:ascii="Arial" w:hAnsi="Arial" w:eastAsia="Arial"/>
                <w:b w:val="0"/>
                <w:i w:val="0"/>
                <w:color w:val="3D4A52"/>
                <w:sz w:val="20"/>
              </w:rPr>
              <w:t>ISPwash será el sistema maestro de cliente, servicio, ticket, estado, asignación, causa confirmada y cierre. ColombiaNetDiagnostico será el motor de diagnóstico, infraestructura, evidencia técnica, correlación, reincidencia e inteligencia operacional. No existirán dos tickets.</w:t>
            </w:r>
          </w:p>
        </w:tc>
      </w:tr>
    </w:tbl>
    <w:p>
      <w:pPr>
        <w:spacing w:after="20"/>
      </w:pPr>
    </w:p>
    <w:p>
      <w:pPr>
        <w:pStyle w:val="Heading1"/>
        <w:keepNext/>
        <w:pageBreakBefore/>
        <w:spacing w:before="200" w:after="100"/>
      </w:pPr>
      <w:r>
        <w:rPr>
          <w:rFonts w:ascii="Arial" w:hAnsi="Arial" w:eastAsia="Arial"/>
          <w:b/>
          <w:color w:val="123B5D"/>
          <w:sz w:val="30"/>
        </w:rPr>
        <w:t>23. Arquitectura lógica</w:t>
      </w:r>
    </w:p>
    <w:tbl>
      <w:tblPr>
        <w:tblW w:type="auto" w:w="0"/>
        <w:jc w:val="center"/>
        <w:tblLayout w:type="fixed"/>
        <w:tblLook w:firstColumn="1" w:firstRow="1" w:lastColumn="0" w:lastRow="0" w:noHBand="0" w:noVBand="1" w:val="04A0"/>
      </w:tblPr>
      <w:tblGrid>
        <w:gridCol w:w="10166"/>
      </w:tblGrid>
      <w:tr>
        <w:trPr>
          <w:cantSplit/>
        </w:trPr>
        <w:tc>
          <w:tcPr>
            <w:tcW w:type="dxa" w:w="9720"/>
            <w:shd w:fill="F7F8F9"/>
            <w:tcMar>
              <w:top w:w="100" w:type="dxa"/>
              <w:start w:w="140" w:type="dxa"/>
              <w:bottom w:w="100" w:type="dxa"/>
              <w:end w:w="140" w:type="dxa"/>
            </w:tcMar>
            <w:tcBorders>
              <w:top w:val="single" w:sz="4" w:color="C7D0D6"/>
              <w:left w:val="single" w:sz="4" w:color="C7D0D6"/>
              <w:bottom w:val="single" w:sz="4" w:color="C7D0D6"/>
              <w:right w:val="single" w:sz="4" w:color="C7D0D6"/>
            </w:tcBorders>
          </w:tcPr>
          <w:p>
            <w:pPr>
              <w:spacing w:after="0" w:line="240" w:lineRule="auto"/>
            </w:pPr>
            <w:r>
              <w:rPr>
                <w:rFonts w:ascii="Consolas" w:hAnsi="Consolas" w:eastAsia="Consolas"/>
                <w:b w:val="0"/>
                <w:i w:val="0"/>
                <w:color w:val="263238"/>
                <w:sz w:val="17"/>
              </w:rPr>
              <w:t>ISPWASH</w:t>
            </w:r>
            <w:r>
              <w:rPr>
                <w:rFonts w:ascii="Arial" w:hAnsi="Arial" w:eastAsia="Arial"/>
              </w:rPr>
              <w:br/>
            </w:r>
            <w:r>
              <w:rPr>
                <w:rFonts w:ascii="Consolas" w:hAnsi="Consolas" w:eastAsia="Consolas"/>
                <w:b w:val="0"/>
                <w:i w:val="0"/>
                <w:color w:val="263238"/>
                <w:sz w:val="17"/>
              </w:rPr>
              <w:t>Clientes · servicios · ticket oficial · estados · asignación · cierre</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 xml:space="preserve">        │ API HTTPS versionada</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CAPA DE INTEGRACIÓN COLOMBIA NET</w:t>
            </w:r>
            <w:r>
              <w:rPr>
                <w:rFonts w:ascii="Arial" w:hAnsi="Arial" w:eastAsia="Arial"/>
              </w:rPr>
              <w:br/>
            </w:r>
            <w:r>
              <w:rPr>
                <w:rFonts w:ascii="Consolas" w:hAnsi="Consolas" w:eastAsia="Consolas"/>
                <w:b w:val="0"/>
                <w:i w:val="0"/>
                <w:color w:val="263238"/>
                <w:sz w:val="17"/>
              </w:rPr>
              <w:t>Autenticación · validación · idempotencia · reintentos · auditoría</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COLOMBIANETDIAGNOSTICO</w:t>
            </w:r>
            <w:r>
              <w:rPr>
                <w:rFonts w:ascii="Arial" w:hAnsi="Arial" w:eastAsia="Arial"/>
              </w:rPr>
              <w:br/>
            </w:r>
            <w:r>
              <w:rPr>
                <w:rFonts w:ascii="Consolas" w:hAnsi="Consolas" w:eastAsia="Consolas"/>
                <w:b w:val="0"/>
                <w:i w:val="0"/>
                <w:color w:val="263238"/>
                <w:sz w:val="17"/>
              </w:rPr>
              <w:t>Caso técnico enlazado · pruebas · evidencia · correlación · analítica</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 xml:space="preserve">        ├── MikroTik / AP / CPE          (solo lectura en V1)</w:t>
            </w:r>
            <w:r>
              <w:rPr>
                <w:rFonts w:ascii="Arial" w:hAnsi="Arial" w:eastAsia="Arial"/>
              </w:rPr>
              <w:br/>
            </w:r>
            <w:r>
              <w:rPr>
                <w:rFonts w:ascii="Consolas" w:hAnsi="Consolas" w:eastAsia="Consolas"/>
                <w:b w:val="0"/>
                <w:i w:val="0"/>
                <w:color w:val="263238"/>
                <w:sz w:val="17"/>
              </w:rPr>
              <w:t xml:space="preserve">        ├── OLT / PON / ONU              (solo lectura en V1)</w:t>
            </w:r>
            <w:r>
              <w:rPr>
                <w:rFonts w:ascii="Arial" w:hAnsi="Arial" w:eastAsia="Arial"/>
              </w:rPr>
              <w:br/>
            </w:r>
            <w:r>
              <w:rPr>
                <w:rFonts w:ascii="Consolas" w:hAnsi="Consolas" w:eastAsia="Consolas"/>
                <w:b w:val="0"/>
                <w:i w:val="0"/>
                <w:color w:val="263238"/>
                <w:sz w:val="17"/>
              </w:rPr>
              <w:t xml:space="preserve">        └── RADIUS / inventario / topología</w:t>
            </w:r>
          </w:p>
        </w:tc>
      </w:tr>
    </w:tbl>
    <w:p>
      <w:pPr>
        <w:spacing w:after="0"/>
      </w:pPr>
    </w:p>
    <w:p>
      <w:pPr>
        <w:pStyle w:val="Heading1"/>
        <w:keepNext/>
        <w:pageBreakBefore w:val="0"/>
        <w:spacing w:before="200" w:after="100"/>
      </w:pPr>
      <w:r>
        <w:rPr>
          <w:rFonts w:ascii="Arial" w:hAnsi="Arial" w:eastAsia="Arial"/>
          <w:b/>
          <w:color w:val="123B5D"/>
          <w:sz w:val="30"/>
        </w:rPr>
        <w:t>24. Propiedad de la información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616"/>
            <w:shd w:fill="123B5D"/>
            <w:vAlign w:val="center"/>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jc w:val="left"/>
            </w:pPr>
            <w:r>
              <w:rPr>
                <w:rFonts w:ascii="Arial" w:hAnsi="Arial" w:eastAsia="Arial"/>
                <w:b/>
                <w:i w:val="0"/>
                <w:color w:val="FFFFFF"/>
                <w:sz w:val="16"/>
              </w:rPr>
              <w:t>Información</w:t>
            </w:r>
          </w:p>
        </w:tc>
        <w:tc>
          <w:tcPr>
            <w:tcW w:type="dxa" w:w="4104"/>
            <w:shd w:fill="123B5D"/>
            <w:vAlign w:val="center"/>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jc w:val="left"/>
            </w:pPr>
            <w:r>
              <w:rPr>
                <w:rFonts w:ascii="Arial" w:hAnsi="Arial" w:eastAsia="Arial"/>
                <w:b/>
                <w:i w:val="0"/>
                <w:color w:val="FFFFFF"/>
                <w:sz w:val="16"/>
              </w:rPr>
              <w:t>Sistema maestro</w:t>
            </w:r>
          </w:p>
        </w:tc>
      </w:tr>
      <w:tr>
        <w:trPr>
          <w:cantSplit/>
        </w:trPr>
        <w:tc>
          <w:tcPr>
            <w:tcW w:type="dxa" w:w="5616"/>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Cliente, contrato, servicio, plan y estado comercial</w:t>
            </w:r>
          </w:p>
        </w:tc>
        <w:tc>
          <w:tcPr>
            <w:tcW w:type="dxa" w:w="4104"/>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ISPwash</w:t>
            </w:r>
          </w:p>
        </w:tc>
      </w:tr>
      <w:tr>
        <w:trPr>
          <w:cantSplit/>
        </w:trPr>
        <w:tc>
          <w:tcPr>
            <w:tcW w:type="dxa" w:w="5616"/>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Número, prioridad, estado, asignación y cierre del ticket</w:t>
            </w:r>
          </w:p>
        </w:tc>
        <w:tc>
          <w:tcPr>
            <w:tcW w:type="dxa" w:w="4104"/>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ISPwash</w:t>
            </w:r>
          </w:p>
        </w:tc>
      </w:tr>
      <w:tr>
        <w:trPr>
          <w:cantSplit/>
        </w:trPr>
        <w:tc>
          <w:tcPr>
            <w:tcW w:type="dxa" w:w="5616"/>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Causa confirmada y acción oficial</w:t>
            </w:r>
          </w:p>
        </w:tc>
        <w:tc>
          <w:tcPr>
            <w:tcW w:type="dxa" w:w="4104"/>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ISPwash, validadas por personal autorizado</w:t>
            </w:r>
          </w:p>
        </w:tc>
      </w:tr>
      <w:tr>
        <w:trPr>
          <w:cantSplit/>
        </w:trPr>
        <w:tc>
          <w:tcPr>
            <w:tcW w:type="dxa" w:w="5616"/>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Topología y asociación nodo/AP/PON/CPE/ONU</w:t>
            </w:r>
          </w:p>
        </w:tc>
        <w:tc>
          <w:tcPr>
            <w:tcW w:type="dxa" w:w="4104"/>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ColombiaNetDiagnostico</w:t>
            </w:r>
          </w:p>
        </w:tc>
      </w:tr>
      <w:tr>
        <w:trPr>
          <w:cantSplit/>
        </w:trPr>
        <w:tc>
          <w:tcPr>
            <w:tcW w:type="dxa" w:w="5616"/>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Pruebas, snapshots y resultados crudos</w:t>
            </w:r>
          </w:p>
        </w:tc>
        <w:tc>
          <w:tcPr>
            <w:tcW w:type="dxa" w:w="4104"/>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ColombiaNetDiagnostico</w:t>
            </w:r>
          </w:p>
        </w:tc>
      </w:tr>
      <w:tr>
        <w:trPr>
          <w:cantSplit/>
        </w:trPr>
        <w:tc>
          <w:tcPr>
            <w:tcW w:type="dxa" w:w="5616"/>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Causa probable y nivel de confianza</w:t>
            </w:r>
          </w:p>
        </w:tc>
        <w:tc>
          <w:tcPr>
            <w:tcW w:type="dxa" w:w="4104"/>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ColombiaNetDiagnostico, como sugerencia</w:t>
            </w:r>
          </w:p>
        </w:tc>
      </w:tr>
      <w:tr>
        <w:trPr>
          <w:cantSplit/>
        </w:trPr>
        <w:tc>
          <w:tcPr>
            <w:tcW w:type="dxa" w:w="5616"/>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Resumen técnico visible en el ticket</w:t>
            </w:r>
          </w:p>
        </w:tc>
        <w:tc>
          <w:tcPr>
            <w:tcW w:type="dxa" w:w="4104"/>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ISPwash, recibido desde la plataforma</w:t>
            </w:r>
          </w:p>
        </w:tc>
      </w:tr>
      <w:tr>
        <w:trPr>
          <w:cantSplit/>
        </w:trPr>
        <w:tc>
          <w:tcPr>
            <w:tcW w:type="dxa" w:w="5616"/>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Evidencia completa y archivos sensibles</w:t>
            </w:r>
          </w:p>
        </w:tc>
        <w:tc>
          <w:tcPr>
            <w:tcW w:type="dxa" w:w="4104"/>
            <w:shd w:fill="F2F4F5"/>
            <w:vAlign w:val="top"/>
            <w:tcMar>
              <w:top w:w="50" w:type="dxa"/>
              <w:start w:w="70" w:type="dxa"/>
              <w:bottom w:w="50"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Plataforma o repositorio definido; ISPwash conserva referencia o copia autorizada</w:t>
            </w:r>
          </w:p>
        </w:tc>
      </w:tr>
    </w:tbl>
    <w:p>
      <w:pPr>
        <w:spacing w:after="20"/>
      </w:pPr>
    </w:p>
    <w:p>
      <w:pPr>
        <w:pStyle w:val="Heading1"/>
        <w:keepNext/>
        <w:spacing w:before="200" w:after="100"/>
      </w:pPr>
      <w:r>
        <w:rPr>
          <w:rFonts w:ascii="Arial" w:hAnsi="Arial" w:eastAsia="Arial"/>
          <w:b/>
          <w:color w:val="123B5D"/>
          <w:sz w:val="30"/>
        </w:rPr>
        <w:t>25. Flujo operativo esperado</w:t>
      </w:r>
    </w:p>
    <w:p>
      <w:pPr>
        <w:spacing w:after="30" w:line="245" w:lineRule="auto"/>
        <w:ind w:left="403" w:hanging="403"/>
      </w:pPr>
      <w:r>
        <w:rPr>
          <w:rFonts w:ascii="Arial" w:hAnsi="Arial"/>
          <w:b w:val="0"/>
          <w:sz w:val="20"/>
        </w:rPr>
        <w:t xml:space="preserve">1.  </w:t>
      </w:r>
      <w:r>
        <w:rPr>
          <w:rFonts w:ascii="Arial" w:hAnsi="Arial"/>
          <w:b w:val="0"/>
          <w:sz w:val="20"/>
        </w:rPr>
        <w:t>El operador crea el ticket en ISPwash y obtiene el consecutivo oficial.</w:t>
      </w:r>
    </w:p>
    <w:p>
      <w:pPr>
        <w:spacing w:after="30" w:line="245" w:lineRule="auto"/>
        <w:ind w:left="403" w:hanging="403"/>
      </w:pPr>
      <w:r>
        <w:rPr>
          <w:rFonts w:ascii="Arial" w:hAnsi="Arial"/>
          <w:b w:val="0"/>
          <w:sz w:val="20"/>
        </w:rPr>
        <w:t xml:space="preserve">2.  </w:t>
      </w:r>
      <w:r>
        <w:rPr>
          <w:rFonts w:ascii="Arial" w:hAnsi="Arial"/>
          <w:b w:val="0"/>
          <w:sz w:val="20"/>
        </w:rPr>
        <w:t>La plataforma recibe un webhook o consulta tickets modificados mediante cursor/updated_since.</w:t>
      </w:r>
    </w:p>
    <w:p>
      <w:pPr>
        <w:spacing w:after="30" w:line="245" w:lineRule="auto"/>
        <w:ind w:left="403" w:hanging="403"/>
      </w:pPr>
      <w:r>
        <w:rPr>
          <w:rFonts w:ascii="Arial" w:hAnsi="Arial"/>
          <w:b w:val="0"/>
          <w:sz w:val="20"/>
        </w:rPr>
        <w:t xml:space="preserve">3.  </w:t>
      </w:r>
      <w:r>
        <w:rPr>
          <w:rFonts w:ascii="Arial" w:hAnsi="Arial"/>
          <w:b w:val="0"/>
          <w:sz w:val="20"/>
        </w:rPr>
        <w:t>Se crea un caso técnico interno enlazado por ispwash_ticket_id; no se muestra como segundo ticket.</w:t>
      </w:r>
    </w:p>
    <w:p>
      <w:pPr>
        <w:spacing w:after="30" w:line="245" w:lineRule="auto"/>
        <w:ind w:left="403" w:hanging="403"/>
      </w:pPr>
      <w:r>
        <w:rPr>
          <w:rFonts w:ascii="Arial" w:hAnsi="Arial"/>
          <w:b w:val="0"/>
          <w:sz w:val="20"/>
        </w:rPr>
        <w:t xml:space="preserve">4.  </w:t>
      </w:r>
      <w:r>
        <w:rPr>
          <w:rFonts w:ascii="Arial" w:hAnsi="Arial"/>
          <w:b w:val="0"/>
          <w:sz w:val="20"/>
        </w:rPr>
        <w:t>La plataforma consulta únicamente los datos mínimos del cliente y servicio.</w:t>
      </w:r>
    </w:p>
    <w:p>
      <w:pPr>
        <w:spacing w:after="30" w:line="245" w:lineRule="auto"/>
        <w:ind w:left="403" w:hanging="403"/>
      </w:pPr>
      <w:r>
        <w:rPr>
          <w:rFonts w:ascii="Arial" w:hAnsi="Arial"/>
          <w:b w:val="0"/>
          <w:sz w:val="20"/>
        </w:rPr>
        <w:t xml:space="preserve">5.  </w:t>
      </w:r>
      <w:r>
        <w:rPr>
          <w:rFonts w:ascii="Arial" w:hAnsi="Arial"/>
          <w:b w:val="0"/>
          <w:sz w:val="20"/>
        </w:rPr>
        <w:t>Se resuelve y congela la infraestructura asociada al momento del incidente.</w:t>
      </w:r>
    </w:p>
    <w:p>
      <w:pPr>
        <w:spacing w:after="30" w:line="245" w:lineRule="auto"/>
        <w:ind w:left="403" w:hanging="403"/>
      </w:pPr>
      <w:r>
        <w:rPr>
          <w:rFonts w:ascii="Arial" w:hAnsi="Arial"/>
          <w:b w:val="0"/>
          <w:sz w:val="20"/>
        </w:rPr>
        <w:t xml:space="preserve">6.  </w:t>
      </w:r>
      <w:r>
        <w:rPr>
          <w:rFonts w:ascii="Arial" w:hAnsi="Arial"/>
          <w:b w:val="0"/>
          <w:sz w:val="20"/>
        </w:rPr>
        <w:t>Se ejecuta el perfil de diagnóstico correspondiente a radio, FTTH u otro servicio.</w:t>
      </w:r>
    </w:p>
    <w:p>
      <w:pPr>
        <w:spacing w:after="30" w:line="245" w:lineRule="auto"/>
        <w:ind w:left="403" w:hanging="403"/>
      </w:pPr>
      <w:r>
        <w:rPr>
          <w:rFonts w:ascii="Arial" w:hAnsi="Arial"/>
          <w:b w:val="0"/>
          <w:sz w:val="20"/>
        </w:rPr>
        <w:t xml:space="preserve">7.  </w:t>
      </w:r>
      <w:r>
        <w:rPr>
          <w:rFonts w:ascii="Arial" w:hAnsi="Arial"/>
          <w:b w:val="0"/>
          <w:sz w:val="20"/>
        </w:rPr>
        <w:t>La plataforma publica en ISPwash el resumen, los indicadores y la causa probable.</w:t>
      </w:r>
    </w:p>
    <w:p>
      <w:pPr>
        <w:spacing w:after="30" w:line="245" w:lineRule="auto"/>
        <w:ind w:left="403" w:hanging="403"/>
      </w:pPr>
      <w:r>
        <w:rPr>
          <w:rFonts w:ascii="Arial" w:hAnsi="Arial"/>
          <w:b w:val="0"/>
          <w:sz w:val="20"/>
        </w:rPr>
        <w:t xml:space="preserve">8.  </w:t>
      </w:r>
      <w:r>
        <w:rPr>
          <w:rFonts w:ascii="Arial" w:hAnsi="Arial"/>
          <w:b w:val="0"/>
          <w:sz w:val="20"/>
        </w:rPr>
        <w:t>El técnico registra intervenciones y toma pruebas finales.</w:t>
      </w:r>
    </w:p>
    <w:p>
      <w:pPr>
        <w:spacing w:after="30" w:line="245" w:lineRule="auto"/>
        <w:ind w:left="403" w:hanging="403"/>
      </w:pPr>
      <w:r>
        <w:rPr>
          <w:rFonts w:ascii="Arial" w:hAnsi="Arial"/>
          <w:b w:val="0"/>
          <w:sz w:val="20"/>
        </w:rPr>
        <w:t xml:space="preserve">9.  </w:t>
      </w:r>
      <w:r>
        <w:rPr>
          <w:rFonts w:ascii="Arial" w:hAnsi="Arial"/>
          <w:b w:val="0"/>
          <w:sz w:val="20"/>
        </w:rPr>
        <w:t>La plataforma calcula si el expediente está listo, listo con advertencias o bloqueado para cierre.</w:t>
      </w:r>
    </w:p>
    <w:p>
      <w:pPr>
        <w:spacing w:after="30" w:line="245" w:lineRule="auto"/>
        <w:ind w:left="403" w:hanging="403"/>
      </w:pPr>
      <w:r>
        <w:rPr>
          <w:rFonts w:ascii="Arial" w:hAnsi="Arial"/>
          <w:b w:val="0"/>
          <w:sz w:val="20"/>
        </w:rPr>
        <w:t xml:space="preserve">10.  </w:t>
      </w:r>
      <w:r>
        <w:rPr>
          <w:rFonts w:ascii="Arial" w:hAnsi="Arial"/>
          <w:b w:val="0"/>
          <w:sz w:val="20"/>
        </w:rPr>
        <w:t>ISPwash ejecuta el cierre oficial y devuelve el evento a la plataforma.</w:t>
      </w:r>
    </w:p>
    <w:p>
      <w:pPr>
        <w:pStyle w:val="Heading1"/>
        <w:keepNext/>
        <w:spacing w:before="200" w:after="100"/>
      </w:pPr>
      <w:r>
        <w:rPr>
          <w:rFonts w:ascii="Arial" w:hAnsi="Arial" w:eastAsia="Arial"/>
          <w:b/>
          <w:color w:val="123B5D"/>
          <w:sz w:val="30"/>
        </w:rPr>
        <w:t>26. Documentación y ambiente solicitados</w:t>
      </w:r>
    </w:p>
    <w:p>
      <w:pPr>
        <w:pStyle w:val="ListBullet"/>
        <w:spacing w:after="40" w:line="254" w:lineRule="auto"/>
      </w:pPr>
      <w:r>
        <w:t>Especificación OpenAPI oficial en JSON UTF-8, versión 3.0.x o 3.1.x, sanitizada y con fecha de vigencia.</w:t>
      </w:r>
    </w:p>
    <w:p>
      <w:pPr>
        <w:pStyle w:val="ListBullet"/>
        <w:spacing w:after="40" w:line="254" w:lineRule="auto"/>
      </w:pPr>
      <w:r>
        <w:t>URL base y ambientes disponibles: sandbox/pruebas y producción, con sus diferencias documentadas.</w:t>
      </w:r>
    </w:p>
    <w:p>
      <w:pPr>
        <w:pStyle w:val="ListBullet"/>
        <w:spacing w:after="40" w:line="254" w:lineRule="auto"/>
      </w:pPr>
      <w:r>
        <w:t>Credenciales separadas por ambiente; para el piloto inicial, permisos estrictamente de solo lectura.</w:t>
      </w:r>
    </w:p>
    <w:p>
      <w:pPr>
        <w:pStyle w:val="ListBullet"/>
        <w:spacing w:after="40" w:line="254" w:lineRule="auto"/>
      </w:pPr>
      <w:r>
        <w:t>Datos ficticios de cliente, servicio, ticket, router lógico/NAS e incidente, sin información real.</w:t>
      </w:r>
    </w:p>
    <w:p>
      <w:pPr>
        <w:pStyle w:val="ListBullet"/>
        <w:spacing w:after="40" w:line="254" w:lineRule="auto"/>
      </w:pPr>
      <w:r>
        <w:t>Ejemplos sanitizados de solicitudes y respuestas exitosas, fallidas, paginadas y concurrentes.</w:t>
      </w:r>
    </w:p>
    <w:p>
      <w:pPr>
        <w:pStyle w:val="ListBullet"/>
        <w:spacing w:after="40" w:line="254" w:lineRule="auto"/>
      </w:pPr>
      <w:r>
        <w:t>Catálogo de errores, paginación, rate limits, timeouts, reintentos e idempotencia.</w:t>
      </w:r>
    </w:p>
    <w:p>
      <w:pPr>
        <w:pStyle w:val="ListBullet"/>
        <w:spacing w:after="40" w:line="254" w:lineRule="auto"/>
      </w:pPr>
      <w:r>
        <w:t>Política de versionamiento, compatibilidad, deprecación y registro de cambios del contrato.</w:t>
      </w:r>
    </w:p>
    <w:p>
      <w:pPr>
        <w:pStyle w:val="ListBullet"/>
        <w:spacing w:after="40" w:line="254" w:lineRule="auto"/>
      </w:pPr>
      <w:r>
        <w:t>Archivo preferiblemente único y de hasta 2 MiB para la recepción actual de CNO; si es mayor, coordinar entrega segmentada o ajuste controlado. Incluir contacto técnico y, si está disponible, SHA-256 del archivo.</w:t>
      </w:r>
    </w:p>
    <w:p>
      <w:pPr>
        <w:pStyle w:val="Heading1"/>
        <w:keepNext/>
        <w:spacing w:before="200" w:after="100"/>
      </w:pPr>
      <w:r>
        <w:rPr>
          <w:rFonts w:ascii="Arial" w:hAnsi="Arial" w:eastAsia="Arial"/>
          <w:b/>
          <w:color w:val="123B5D"/>
          <w:sz w:val="30"/>
        </w:rPr>
        <w:t>27. Autenticación y seguridad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Requisito</w:t>
            </w:r>
          </w:p>
        </w:tc>
        <w:tc>
          <w:tcPr>
            <w:tcW w:type="dxa" w:w="720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Preferencia / condición</w:t>
            </w:r>
          </w:p>
        </w:tc>
      </w:tr>
      <w:tr>
        <w:trPr>
          <w:cantSplit/>
        </w:trPr>
        <w:tc>
          <w:tcPr>
            <w:tcW w:type="dxa" w:w="252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Autenticación máquina a máquina</w:t>
            </w:r>
          </w:p>
        </w:tc>
        <w:tc>
          <w:tcPr>
            <w:tcW w:type="dxa" w:w="720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OAuth 2.0 client_credentials; alternativa: token restringido y rotatorio.</w:t>
            </w:r>
          </w:p>
        </w:tc>
      </w:tr>
      <w:tr>
        <w:trPr>
          <w:cantSplit/>
        </w:trPr>
        <w:tc>
          <w:tcPr>
            <w:tcW w:type="dxa" w:w="252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Scopes</w:t>
            </w:r>
          </w:p>
        </w:tc>
        <w:tc>
          <w:tcPr>
            <w:tcW w:type="dxa" w:w="720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Permisos equivalentes de lectura de clientes, servicios, tickets, catálogos e historial; y permisos separados para comentarios, diagnósticos, adjuntos, incidentes o webhooks. Los nombres de scopes son referenciales y ISPwash deberá declarar los reales.</w:t>
            </w:r>
          </w:p>
        </w:tc>
      </w:tr>
      <w:tr>
        <w:trPr>
          <w:cantSplit/>
        </w:trPr>
        <w:tc>
          <w:tcPr>
            <w:tcW w:type="dxa" w:w="252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Aislamiento</w:t>
            </w:r>
          </w:p>
        </w:tc>
        <w:tc>
          <w:tcPr>
            <w:tcW w:type="dxa" w:w="720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Credenciales separadas por ambiente y por organización.</w:t>
            </w:r>
          </w:p>
        </w:tc>
      </w:tr>
      <w:tr>
        <w:trPr>
          <w:cantSplit/>
        </w:trPr>
        <w:tc>
          <w:tcPr>
            <w:tcW w:type="dxa" w:w="252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Rotación</w:t>
            </w:r>
          </w:p>
        </w:tc>
        <w:tc>
          <w:tcPr>
            <w:tcW w:type="dxa" w:w="720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Revocación y rotación sin modificar código.</w:t>
            </w:r>
          </w:p>
        </w:tc>
      </w:tr>
      <w:tr>
        <w:trPr>
          <w:cantSplit/>
        </w:trPr>
        <w:tc>
          <w:tcPr>
            <w:tcW w:type="dxa" w:w="252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Red</w:t>
            </w:r>
          </w:p>
        </w:tc>
        <w:tc>
          <w:tcPr>
            <w:tcW w:type="dxa" w:w="720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Restricción por IP cuando sea viable y TLS obligatorio.</w:t>
            </w:r>
          </w:p>
        </w:tc>
      </w:tr>
      <w:tr>
        <w:trPr>
          <w:cantSplit/>
        </w:trPr>
        <w:tc>
          <w:tcPr>
            <w:tcW w:type="dxa" w:w="252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Minimización</w:t>
            </w:r>
          </w:p>
        </w:tc>
        <w:tc>
          <w:tcPr>
            <w:tcW w:type="dxa" w:w="720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No entregar contraseñas PPPoE, secretos RADIUS, claves de equipos ni tokens internos.</w:t>
            </w:r>
          </w:p>
        </w:tc>
      </w:tr>
      <w:tr>
        <w:trPr>
          <w:cantSplit/>
        </w:trPr>
        <w:tc>
          <w:tcPr>
            <w:tcW w:type="dxa" w:w="252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Auditoría</w:t>
            </w:r>
          </w:p>
        </w:tc>
        <w:tc>
          <w:tcPr>
            <w:tcW w:type="dxa" w:w="720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Identificar aplicación, usuario, recurso, operación, fecha, IP y correlation_id.</w:t>
            </w:r>
          </w:p>
        </w:tc>
      </w:tr>
      <w:tr>
        <w:trPr>
          <w:cantSplit/>
        </w:trPr>
        <w:tc>
          <w:tcPr>
            <w:tcW w:type="dxa" w:w="252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Acceso técnico</w:t>
            </w:r>
          </w:p>
        </w:tc>
        <w:tc>
          <w:tcPr>
            <w:tcW w:type="dxa" w:w="720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ISPwash no tendrá acceso directo a bases de datos ni equipos de red.</w:t>
            </w:r>
          </w:p>
        </w:tc>
      </w:tr>
    </w:tbl>
    <w:p>
      <w:pPr>
        <w:spacing w:after="20"/>
      </w:pPr>
    </w:p>
    <w:p>
      <w:pPr>
        <w:pStyle w:val="Heading1"/>
        <w:keepNext/>
        <w:spacing w:before="200" w:after="100"/>
      </w:pPr>
      <w:r>
        <w:rPr>
          <w:rFonts w:ascii="Arial" w:hAnsi="Arial" w:eastAsia="Arial"/>
          <w:b/>
          <w:color w:val="123B5D"/>
          <w:sz w:val="30"/>
        </w:rPr>
        <w:t>28. Recursos y operaciones API requeridos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Dominio</w:t>
            </w:r>
          </w:p>
        </w:tc>
        <w:tc>
          <w:tcPr>
            <w:tcW w:type="dxa" w:w="777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Operaciones equivalentes requeridas</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Clientes</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Consultar por identificador estable; búsquedas auxiliares por documento, teléfono o código, si existen.</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Servicios</w:t>
            </w:r>
          </w:p>
        </w:tc>
        <w:tc>
          <w:tcPr>
            <w:tcW w:type="dxa" w:w="777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Listar servicios del cliente; consultar service_id, tecnología, plan, estado, IP, PPPoE, dirección, instalación y relación con router lógico/NAS mediante identificadores estables.</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Tickets</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P0: consultar, listar modificados, leer historial y enriquecer campos técnicos autorizados de tickets existentes. Crear, transicionar, reabrir o cerrar por API se evaluará como capacidad futura y separada.</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Comentarios</w:t>
            </w:r>
          </w:p>
        </w:tc>
        <w:tc>
          <w:tcPr>
            <w:tcW w:type="dxa" w:w="777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Agregar observaciones técnicas a un ticket existente, con origen, fecha, aplicación y auditoría.</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Diagnósticos</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Publicar diagnóstico inicial, seguimiento y final mediante payload estructurado o referencia segura.</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Intervenciones</w:t>
            </w:r>
          </w:p>
        </w:tc>
        <w:tc>
          <w:tcPr>
            <w:tcW w:type="dxa" w:w="777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Registrar o vincular intervención, técnico, acción, materiales, equipos y resultado, si el contrato lo soporta.</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Adjuntos</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Cargar, consultar y descargar archivos o vincular una URL segura.</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Incidentes</w:t>
            </w:r>
          </w:p>
        </w:tc>
        <w:tc>
          <w:tcPr>
            <w:tcW w:type="dxa" w:w="777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Consultar y relacionar incidentes padre; creación o cierre por API solo después de aprobación funcional.</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Catálogos</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Consultar códigos técnicos estables, etiquetas, versiones, obligatoriedad y valores vigentes, incluidos campos personalizados.</w:t>
            </w:r>
          </w:p>
        </w:tc>
      </w:tr>
      <w:tr>
        <w:trPr>
          <w:cantSplit/>
        </w:trPr>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Auditoría</w:t>
            </w:r>
          </w:p>
        </w:tc>
        <w:tc>
          <w:tcPr>
            <w:tcW w:type="dxa" w:w="777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Consultar historial autorizado del recurso.</w:t>
            </w:r>
          </w:p>
        </w:tc>
      </w:tr>
      <w:tr>
        <w:trPr>
          <w:cantSplit/>
        </w:trPr>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8"/>
              </w:rPr>
              <w:t>Campos personalizados</w:t>
            </w:r>
          </w:p>
        </w:tc>
        <w:tc>
          <w:tcPr>
            <w:tcW w:type="dxa" w:w="777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Exponer por API/OpenAPI los campos creados en la Solicitud 1, con código estable, tipo, enum, versión, permisos y reglas de obligatoriedad.</w:t>
            </w:r>
          </w:p>
        </w:tc>
      </w:tr>
    </w:tbl>
    <w:p>
      <w:pPr>
        <w:spacing w:after="20"/>
      </w:pPr>
    </w:p>
    <w:p>
      <w:pPr>
        <w:pStyle w:val="Heading1"/>
        <w:keepNext/>
        <w:spacing w:before="200" w:after="100"/>
      </w:pPr>
      <w:r>
        <w:t>29. Operaciones requeridas sin presuponer endpoints</w:t>
      </w:r>
    </w:p>
    <w:tbl>
      <w:tblPr>
        <w:tblW w:type="auto" w:w="0"/>
        <w:jc w:val="center"/>
        <w:tblLayout w:type="fixed"/>
        <w:tblLook w:firstColumn="1" w:firstRow="1" w:lastColumn="0" w:lastRow="0" w:noHBand="0" w:noVBand="1" w:val="04A0"/>
      </w:tblPr>
      <w:tblGrid>
        <w:gridCol w:w="10166"/>
      </w:tblGrid>
      <w:tr>
        <w:tc>
          <w:tcPr>
            <w:tcW w:type="dxa" w:w="9720"/>
            <w:shd w:fill="F7F8F9"/>
            <w:tcMar>
              <w:top w:w="100" w:type="dxa"/>
              <w:start w:w="140" w:type="dxa"/>
              <w:bottom w:w="100" w:type="dxa"/>
              <w:end w:w="140" w:type="dxa"/>
            </w:tcMar>
            <w:tcBorders>
              <w:top w:val="single" w:sz="4" w:color="C7D0D6"/>
              <w:left w:val="single" w:sz="4" w:color="C7D0D6"/>
              <w:bottom w:val="single" w:sz="4" w:color="C7D0D6"/>
              <w:right w:val="single" w:sz="4" w:color="C7D0D6"/>
            </w:tcBorders>
          </w:tcPr>
          <w:p>
            <w:r>
              <w:rPr>
                <w:rFonts w:ascii="Arial" w:hAnsi="Arial" w:eastAsia="Arial"/>
                <w:b/>
                <w:sz w:val="18"/>
              </w:rPr>
              <w:t>REGLA CONTRACTUAL</w:t>
            </w:r>
            <w:r>
              <w:rPr>
                <w:rFonts w:ascii="Arial" w:hAnsi="Arial" w:eastAsia="Arial"/>
                <w:b w:val="0"/>
                <w:sz w:val="17"/>
              </w:rPr>
              <w:br/>
              <w:t>ColombiaNetDiagnostico no asumirá nombres de rutas, métodos, operationId, campos o eventos. ISPwash deberá entregar en su OpenAPI los paths reales que cubran las capacidades de la sección 28.</w:t>
              <w:br/>
              <w:br/>
              <w:t>P0 — lectura inicial: cliente/servicio, router lógico o NAS, ticket, historial, catálogos y cambios incrementales.</w:t>
              <w:br/>
              <w:t>P0 — escritura controlada posterior: diagnóstico, comentario, evidencia o referencia técnica sobre un ticket existente.</w:t>
              <w:br/>
              <w:t>P1 — incidentes y relaciones.</w:t>
              <w:br/>
              <w:t>P2 — creación, transición, reapertura o cierre por API, únicamente si se aprueba después.</w:t>
            </w:r>
          </w:p>
        </w:tc>
      </w:tr>
    </w:tbl>
    <w:p>
      <w:pPr>
        <w:spacing w:after="0"/>
      </w:pPr>
    </w:p>
    <w:p>
      <w:pPr>
        <w:keepNext w:val="0"/>
        <w:spacing w:after="100" w:line="269" w:lineRule="auto"/>
      </w:pPr>
      <w:r>
        <w:t>Los ejemplos conceptuales de este documento no constituyen un contrato ni obligan a ISPwash a una nomenclatura. El único contrato válido será la especificación oficial sanitizada entregada por el proveedor y el mapeo aprobado posteriormente.</w:t>
      </w:r>
    </w:p>
    <w:p>
      <w:pPr>
        <w:pStyle w:val="Heading1"/>
        <w:keepNext/>
        <w:spacing w:before="200" w:after="100"/>
      </w:pPr>
      <w:r>
        <w:rPr>
          <w:rFonts w:ascii="Arial" w:hAnsi="Arial" w:eastAsia="Arial"/>
          <w:b/>
          <w:color w:val="123B5D"/>
          <w:sz w:val="30"/>
        </w:rPr>
        <w:t>30. Campos mínimos intercambiados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5"/>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Grupo</w:t>
            </w:r>
          </w:p>
        </w:tc>
        <w:tc>
          <w:tcPr>
            <w:tcW w:type="dxa" w:w="7703"/>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Campos</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Identificadores</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Proveedor: customer_id, service_id, ticket_id, logical_router_id o NAS_id y resource_version. CNO: external_reference, diagnostic_run_id, correlation_id, schema_version y catalog_version.</w:t>
            </w:r>
          </w:p>
        </w:tc>
      </w:tr>
      <w:tr>
        <w:trPr>
          <w:cantSplit/>
        </w:trPr>
        <w:tc>
          <w:tcPr>
            <w:tcW w:type="dxa" w:w="201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Ticket</w:t>
            </w:r>
          </w:p>
        </w:tc>
        <w:tc>
          <w:tcPr>
            <w:tcW w:type="dxa" w:w="77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estado, prioridad, canal, síntoma, descripción original, reportado_en, inicio_falla, técnico, causa confirmada, acción, resultado, restablecido_en y cerrado_en; conforme a los nombres oficiales del proveedor.</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Servicio</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estado, tecnología, plan, usuario PPPoE, IP, dirección, zona, instalación, equipos asignados y relación con router lógico/NAS, sin contraseñas ni secretos.</w:t>
            </w:r>
          </w:p>
        </w:tc>
      </w:tr>
      <w:tr>
        <w:trPr>
          <w:cantSplit/>
        </w:trPr>
        <w:tc>
          <w:tcPr>
            <w:tcW w:type="dxa" w:w="201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Infraestructura</w:t>
            </w:r>
          </w:p>
        </w:tc>
        <w:tc>
          <w:tcPr>
            <w:tcW w:type="dxa" w:w="77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ISPwash: identificador de router lógico/NAS y zona comercial. CNO: snapshot técnico de regional, municipio, nodo, AP/OLT, PON y CPE/ONU, enviado como campos estructurados autorizados o referencia externa.</w:t>
            </w:r>
          </w:p>
        </w:tc>
      </w:tr>
      <w:tr>
        <w:trPr>
          <w:cantSplit/>
        </w:trPr>
        <w:tc>
          <w:tcPr>
            <w:tcW w:type="dxa" w:w="201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Diagnóstico</w:t>
            </w:r>
          </w:p>
        </w:tc>
        <w:tc>
          <w:tcPr>
            <w:tcW w:type="dxa" w:w="77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fase, estado, inicio/fin, indicadores, causa probable, confianza y referencia segura.</w:t>
            </w:r>
          </w:p>
        </w:tc>
      </w:tr>
      <w:tr>
        <w:trPr>
          <w:cantSplit/>
        </w:trPr>
        <w:tc>
          <w:tcPr>
            <w:tcW w:type="dxa" w:w="201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Control</w:t>
            </w:r>
          </w:p>
        </w:tc>
        <w:tc>
          <w:tcPr>
            <w:tcW w:type="dxa" w:w="77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resource_version, idempotency_key, payload_hash, actor, source_application, updated_at y external_reference.</w:t>
            </w:r>
          </w:p>
        </w:tc>
      </w:tr>
    </w:tbl>
    <w:p>
      <w:pPr>
        <w:spacing w:after="20"/>
      </w:pPr>
    </w:p>
    <w:p>
      <w:pPr>
        <w:pStyle w:val="Heading1"/>
        <w:keepNext/>
        <w:spacing w:before="200" w:after="100"/>
      </w:pPr>
      <w:r>
        <w:rPr>
          <w:rFonts w:ascii="Arial" w:hAnsi="Arial" w:eastAsia="Arial"/>
          <w:b/>
          <w:color w:val="123B5D"/>
          <w:sz w:val="30"/>
        </w:rPr>
        <w:t>31. Webhooks o mecanismo incremental</w:t>
      </w:r>
    </w:p>
    <w:p>
      <w:pPr>
        <w:keepNext w:val="0"/>
        <w:spacing w:after="100" w:line="269" w:lineRule="auto"/>
      </w:pPr>
      <w:r>
        <w:rPr>
          <w:rFonts w:ascii="Arial" w:hAnsi="Arial" w:eastAsia="Arial"/>
          <w:b w:val="0"/>
          <w:i w:val="0"/>
          <w:color w:val="3D4A52"/>
          <w:sz w:val="21"/>
        </w:rPr>
        <w:t>La opción preferida son eventos firmados. Si no existen webhooks, ISPwash debe ofrecer obligatoriamente consulta incremental confiable mediante updated_since o cursor.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1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r>
              <w:rPr>
                <w:rFonts w:ascii="Arial" w:hAnsi="Arial" w:eastAsia="Arial"/>
                <w:sz w:val="18"/>
              </w:rPr>
              <w:t>Semántica requerida (nombre referencial)</w:t>
            </w:r>
          </w:p>
        </w:tc>
        <w:tc>
          <w:tcPr>
            <w:tcW w:type="dxa" w:w="5903"/>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Uso</w:t>
            </w:r>
          </w:p>
        </w:tc>
      </w:tr>
      <w:tr>
        <w:trPr>
          <w:cantSplit/>
        </w:trPr>
        <w:tc>
          <w:tcPr>
            <w:tcW w:type="dxa" w:w="381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support.ticket.created</w:t>
            </w:r>
          </w:p>
        </w:tc>
        <w:tc>
          <w:tcPr>
            <w:tcW w:type="dxa" w:w="59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Crear o enlazar el caso técnico.</w:t>
            </w:r>
          </w:p>
        </w:tc>
      </w:tr>
      <w:tr>
        <w:trPr>
          <w:cantSplit/>
        </w:trPr>
        <w:tc>
          <w:tcPr>
            <w:tcW w:type="dxa" w:w="381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support.ticket.updated</w:t>
            </w:r>
          </w:p>
        </w:tc>
        <w:tc>
          <w:tcPr>
            <w:tcW w:type="dxa" w:w="59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Sincronizar cambios de campos.</w:t>
            </w:r>
          </w:p>
        </w:tc>
      </w:tr>
      <w:tr>
        <w:trPr>
          <w:cantSplit/>
        </w:trPr>
        <w:tc>
          <w:tcPr>
            <w:tcW w:type="dxa" w:w="381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support.ticket.assigned</w:t>
            </w:r>
          </w:p>
        </w:tc>
        <w:tc>
          <w:tcPr>
            <w:tcW w:type="dxa" w:w="59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Actualizar responsable.</w:t>
            </w:r>
          </w:p>
        </w:tc>
      </w:tr>
      <w:tr>
        <w:trPr>
          <w:cantSplit/>
        </w:trPr>
        <w:tc>
          <w:tcPr>
            <w:tcW w:type="dxa" w:w="381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support.ticket.status_changed</w:t>
            </w:r>
          </w:p>
        </w:tc>
        <w:tc>
          <w:tcPr>
            <w:tcW w:type="dxa" w:w="59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Reflejar transición y cronología.</w:t>
            </w:r>
          </w:p>
        </w:tc>
      </w:tr>
      <w:tr>
        <w:trPr>
          <w:cantSplit/>
        </w:trPr>
        <w:tc>
          <w:tcPr>
            <w:tcW w:type="dxa" w:w="381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support.ticket.closed</w:t>
            </w:r>
          </w:p>
        </w:tc>
        <w:tc>
          <w:tcPr>
            <w:tcW w:type="dxa" w:w="59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Finalizar espejo local y conciliación.</w:t>
            </w:r>
          </w:p>
        </w:tc>
      </w:tr>
      <w:tr>
        <w:trPr>
          <w:cantSplit/>
        </w:trPr>
        <w:tc>
          <w:tcPr>
            <w:tcW w:type="dxa" w:w="381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support.ticket.reopened</w:t>
            </w:r>
          </w:p>
        </w:tc>
        <w:tc>
          <w:tcPr>
            <w:tcW w:type="dxa" w:w="59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Reactivar caso y marcar reincidencia/reapertura.</w:t>
            </w:r>
          </w:p>
        </w:tc>
      </w:tr>
      <w:tr>
        <w:trPr>
          <w:cantSplit/>
        </w:trPr>
        <w:tc>
          <w:tcPr>
            <w:tcW w:type="dxa" w:w="381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support.incident.created/updated/closed</w:t>
            </w:r>
          </w:p>
        </w:tc>
        <w:tc>
          <w:tcPr>
            <w:tcW w:type="dxa" w:w="5903"/>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Sincronizar incidente padre.</w:t>
            </w:r>
          </w:p>
        </w:tc>
      </w:tr>
      <w:tr>
        <w:trPr>
          <w:cantSplit/>
        </w:trPr>
        <w:tc>
          <w:tcPr>
            <w:tcW w:type="dxa" w:w="381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customer.updated / service.updated</w:t>
            </w:r>
          </w:p>
        </w:tc>
        <w:tc>
          <w:tcPr>
            <w:tcW w:type="dxa" w:w="5903"/>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Refrescar contexto sin alterar snapshots históricos.</w:t>
            </w:r>
          </w:p>
        </w:tc>
      </w:tr>
    </w:tbl>
    <w:p>
      <w:pPr>
        <w:spacing w:after="20"/>
      </w:pPr>
    </w:p>
    <w:p>
      <w:pPr>
        <w:keepNext w:val="0"/>
        <w:spacing w:after="100" w:line="269" w:lineRule="auto"/>
      </w:pPr>
      <w:r>
        <w:t>Cada evento o registro incremental debe permitir deduplicación y conciliación mediante event_id o equivalente, timestamp, tipo, tenant, resource_id, resource_version, correlation_id, versión de esquema, autenticación/firma, política de reintentos y registro de entregas. Los nombres mostrados son conceptuales; ISPwash deberá declarar los reales.</w:t>
      </w:r>
    </w:p>
    <w:p>
      <w:pPr>
        <w:pStyle w:val="Heading1"/>
        <w:keepNext/>
        <w:spacing w:before="200" w:after="100"/>
      </w:pPr>
      <w:r>
        <w:rPr>
          <w:rFonts w:ascii="Arial" w:hAnsi="Arial" w:eastAsia="Arial"/>
          <w:b/>
          <w:color w:val="123B5D"/>
          <w:sz w:val="30"/>
        </w:rPr>
        <w:t>32. Idempotencia, concurrencia y errores</w:t>
      </w:r>
    </w:p>
    <w:p>
      <w:pPr>
        <w:pStyle w:val="ListBullet"/>
        <w:spacing w:after="40" w:line="254" w:lineRule="auto"/>
      </w:pPr>
      <w:r>
        <w:rPr>
          <w:rFonts w:ascii="Arial" w:hAnsi="Arial" w:eastAsia="Arial"/>
          <w:b w:val="0"/>
          <w:i w:val="0"/>
          <w:color w:val="3D4A52"/>
          <w:sz w:val="21"/>
        </w:rPr>
        <w:t>Idempotency-Key obligatorio en operaciones de escritura.</w:t>
      </w:r>
    </w:p>
    <w:p>
      <w:pPr>
        <w:pStyle w:val="ListBullet"/>
        <w:spacing w:after="40" w:line="254" w:lineRule="auto"/>
      </w:pPr>
      <w:r>
        <w:rPr>
          <w:rFonts w:ascii="Arial" w:hAnsi="Arial" w:eastAsia="Arial"/>
          <w:b w:val="0"/>
          <w:i w:val="0"/>
          <w:color w:val="3D4A52"/>
          <w:sz w:val="21"/>
        </w:rPr>
        <w:t>external_reference único para evitar registros duplicados.</w:t>
      </w:r>
    </w:p>
    <w:p>
      <w:pPr>
        <w:pStyle w:val="ListBullet"/>
        <w:spacing w:after="40" w:line="254" w:lineRule="auto"/>
      </w:pPr>
      <w:r>
        <w:rPr>
          <w:rFonts w:ascii="Arial" w:hAnsi="Arial" w:eastAsia="Arial"/>
          <w:b w:val="0"/>
          <w:i w:val="0"/>
          <w:color w:val="3D4A52"/>
          <w:sz w:val="21"/>
        </w:rPr>
        <w:t>ETag/If-Match o version para detectar cambios concurrentes.</w:t>
      </w:r>
    </w:p>
    <w:p>
      <w:pPr>
        <w:pStyle w:val="ListBullet"/>
        <w:spacing w:after="40" w:line="254" w:lineRule="auto"/>
      </w:pPr>
      <w:r>
        <w:rPr>
          <w:rFonts w:ascii="Arial" w:hAnsi="Arial" w:eastAsia="Arial"/>
          <w:b w:val="0"/>
          <w:i w:val="0"/>
          <w:color w:val="3D4A52"/>
          <w:sz w:val="21"/>
        </w:rPr>
        <w:t>409 Conflict cuando el recurso fue modificado por otro actor.</w:t>
      </w:r>
    </w:p>
    <w:p>
      <w:pPr>
        <w:pStyle w:val="ListBullet"/>
        <w:spacing w:after="40" w:line="254" w:lineRule="auto"/>
      </w:pPr>
      <w:r>
        <w:rPr>
          <w:rFonts w:ascii="Arial" w:hAnsi="Arial" w:eastAsia="Arial"/>
          <w:b w:val="0"/>
          <w:i w:val="0"/>
          <w:color w:val="3D4A52"/>
          <w:sz w:val="21"/>
        </w:rPr>
        <w:t>Eventos duplicados deben poder reconocerse y procesarse sin duplicar efectos.</w:t>
      </w:r>
    </w:p>
    <w:p>
      <w:pPr>
        <w:pStyle w:val="ListBullet"/>
        <w:spacing w:after="40" w:line="254" w:lineRule="auto"/>
      </w:pPr>
      <w:r>
        <w:rPr>
          <w:rFonts w:ascii="Arial" w:hAnsi="Arial" w:eastAsia="Arial"/>
          <w:b w:val="0"/>
          <w:i w:val="0"/>
          <w:color w:val="3D4A52"/>
          <w:sz w:val="21"/>
        </w:rPr>
        <w:t>Errores estructurados que distingan validación, autenticación, autorización, conflicto, límite y indisponibilidad.</w:t>
      </w:r>
    </w:p>
    <w:p>
      <w:pPr>
        <w:pStyle w:val="ListBullet"/>
        <w:spacing w:after="40" w:line="254" w:lineRule="auto"/>
      </w:pPr>
      <w:r>
        <w:rPr>
          <w:rFonts w:ascii="Arial" w:hAnsi="Arial" w:eastAsia="Arial"/>
          <w:b w:val="0"/>
          <w:i w:val="0"/>
          <w:color w:val="3D4A52"/>
          <w:sz w:val="21"/>
        </w:rPr>
        <w:t>Paginación por cursor y orden determinista.</w:t>
      </w:r>
    </w:p>
    <w:p>
      <w:pPr>
        <w:pStyle w:val="ListBullet"/>
        <w:spacing w:after="40" w:line="254" w:lineRule="auto"/>
      </w:pPr>
      <w:r>
        <w:rPr>
          <w:rFonts w:ascii="Arial" w:hAnsi="Arial" w:eastAsia="Arial"/>
          <w:b w:val="0"/>
          <w:i w:val="0"/>
          <w:color w:val="3D4A52"/>
          <w:sz w:val="21"/>
        </w:rPr>
        <w:t>Fechas en ISO 8601; almacenamiento UTC y presentación en America/Bogota.</w:t>
      </w:r>
    </w:p>
    <w:p>
      <w:pPr>
        <w:pStyle w:val="Heading1"/>
        <w:keepNext/>
        <w:spacing w:before="200" w:after="100"/>
      </w:pPr>
      <w:r>
        <w:rPr>
          <w:rFonts w:ascii="Arial" w:hAnsi="Arial" w:eastAsia="Arial"/>
          <w:b/>
          <w:color w:val="123B5D"/>
          <w:sz w:val="30"/>
        </w:rPr>
        <w:t>33. Adjuntos y evidencia</w:t>
      </w:r>
    </w:p>
    <w:p>
      <w:pPr>
        <w:keepNext w:val="0"/>
        <w:spacing w:after="100" w:line="269" w:lineRule="auto"/>
      </w:pPr>
      <w:r>
        <w:rPr>
          <w:rFonts w:ascii="Arial" w:hAnsi="Arial" w:eastAsia="Arial"/>
          <w:b w:val="0"/>
          <w:i w:val="0"/>
          <w:color w:val="3D4A52"/>
          <w:sz w:val="21"/>
        </w:rPr>
        <w:t>Solicitamos confirmar soporte para fotografías, PDF, TXT/JSON técnicos, tamaño máximo, tipos permitidos, carga multipart o URL prefirmada, hash, metadatos, retención, descarga segura y posibilidad de vincular una evidencia alojada en nuestra plataforma.</w:t>
      </w:r>
    </w:p>
    <w:p>
      <w:pPr>
        <w:pStyle w:val="Heading1"/>
        <w:keepNext/>
        <w:spacing w:before="200" w:after="100"/>
      </w:pPr>
      <w:r>
        <w:rPr>
          <w:rFonts w:ascii="Arial" w:hAnsi="Arial" w:eastAsia="Arial"/>
          <w:b/>
          <w:color w:val="123B5D"/>
          <w:sz w:val="30"/>
        </w:rPr>
        <w:t>34. Enlace desde ISPwash hacia la plataforma</w:t>
      </w:r>
    </w:p>
    <w:p>
      <w:pPr>
        <w:keepNext w:val="0"/>
        <w:spacing w:after="100" w:line="269" w:lineRule="auto"/>
      </w:pPr>
      <w:r>
        <w:rPr>
          <w:rFonts w:ascii="Arial" w:hAnsi="Arial" w:eastAsia="Arial"/>
          <w:b w:val="0"/>
          <w:i w:val="0"/>
          <w:color w:val="3D4A52"/>
          <w:sz w:val="21"/>
        </w:rPr>
        <w:t>Solicitamos habilitar dentro del ticket una acción denominada “Abrir diagnóstico Colombia Net”, que envíe únicamente el ticket_id o una referencia no sensible. La autenticación y autorización del usuario se resolverán en la plataforma; la URL no debe contener credenciales ni secretos.</w:t>
      </w:r>
    </w:p>
    <w:p>
      <w:pPr>
        <w:pStyle w:val="Heading1"/>
        <w:keepNext/>
        <w:spacing w:before="200" w:after="100"/>
      </w:pPr>
      <w:r>
        <w:rPr>
          <w:rFonts w:ascii="Arial" w:hAnsi="Arial" w:eastAsia="Arial"/>
          <w:b/>
          <w:color w:val="123B5D"/>
          <w:sz w:val="30"/>
        </w:rPr>
        <w:t>35. Resiliencia y continuidad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Escenario</w:t>
            </w:r>
          </w:p>
        </w:tc>
        <w:tc>
          <w:tcPr>
            <w:tcW w:type="dxa" w:w="684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Comportamiento esperado</w:t>
            </w:r>
          </w:p>
        </w:tc>
      </w:tr>
      <w:tr>
        <w:trPr>
          <w:cantSplit/>
        </w:trPr>
        <w:tc>
          <w:tcPr>
            <w:tcW w:type="dxa" w:w="288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ISPwash temporalmente no disponible</w:t>
            </w:r>
          </w:p>
        </w:tc>
        <w:tc>
          <w:tcPr>
            <w:tcW w:type="dxa" w:w="68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La plataforma conserva operaciones pendientes y las reintenta; no pierde diagnósticos.</w:t>
            </w:r>
          </w:p>
        </w:tc>
      </w:tr>
      <w:tr>
        <w:trPr>
          <w:cantSplit/>
        </w:trPr>
        <w:tc>
          <w:tcPr>
            <w:tcW w:type="dxa" w:w="288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Plataforma no disponible</w:t>
            </w:r>
          </w:p>
        </w:tc>
        <w:tc>
          <w:tcPr>
            <w:tcW w:type="dxa" w:w="684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ISPwash continúa operando manualmente; al recuperarse, la plataforma consulta cambios y concilia.</w:t>
            </w:r>
          </w:p>
        </w:tc>
      </w:tr>
      <w:tr>
        <w:trPr>
          <w:cantSplit/>
        </w:trPr>
        <w:tc>
          <w:tcPr>
            <w:tcW w:type="dxa" w:w="288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Evento duplicado</w:t>
            </w:r>
          </w:p>
        </w:tc>
        <w:tc>
          <w:tcPr>
            <w:tcW w:type="dxa" w:w="68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No se crea un segundo caso ni una segunda intervención.</w:t>
            </w:r>
          </w:p>
        </w:tc>
      </w:tr>
      <w:tr>
        <w:trPr>
          <w:cantSplit/>
        </w:trPr>
        <w:tc>
          <w:tcPr>
            <w:tcW w:type="dxa" w:w="288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Evento fuera de orden</w:t>
            </w:r>
          </w:p>
        </w:tc>
        <w:tc>
          <w:tcPr>
            <w:tcW w:type="dxa" w:w="684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 compara resource_version, se consulta el recurso actual y no se retrocede el estado.</w:t>
            </w:r>
          </w:p>
        </w:tc>
      </w:tr>
      <w:tr>
        <w:trPr>
          <w:cantSplit/>
        </w:trPr>
        <w:tc>
          <w:tcPr>
            <w:tcW w:type="dxa" w:w="288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Equipo de red inaccesible</w:t>
            </w:r>
          </w:p>
        </w:tc>
        <w:tc>
          <w:tcPr>
            <w:tcW w:type="dxa" w:w="68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El diagnóstico se marca parcial; no se inventa una causa.</w:t>
            </w:r>
          </w:p>
        </w:tc>
      </w:tr>
      <w:tr>
        <w:trPr>
          <w:cantSplit/>
        </w:trPr>
        <w:tc>
          <w:tcPr>
            <w:tcW w:type="dxa" w:w="288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Conflicto de edición</w:t>
            </w:r>
          </w:p>
        </w:tc>
        <w:tc>
          <w:tcPr>
            <w:tcW w:type="dxa" w:w="684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 bloquea la sobrescritura silenciosa y se requiere conciliación.</w:t>
            </w:r>
          </w:p>
        </w:tc>
      </w:tr>
    </w:tbl>
    <w:p>
      <w:pPr>
        <w:spacing w:after="20"/>
      </w:pPr>
    </w:p>
    <w:p>
      <w:pPr>
        <w:pStyle w:val="Heading1"/>
        <w:keepNext/>
        <w:spacing w:before="200" w:after="100"/>
      </w:pPr>
      <w:r>
        <w:rPr>
          <w:rFonts w:ascii="Arial" w:hAnsi="Arial" w:eastAsia="Arial"/>
          <w:b/>
          <w:color w:val="123B5D"/>
          <w:sz w:val="30"/>
        </w:rPr>
        <w:t>36. Criterios de aceptación de la Solicitud 2</w:t>
      </w:r>
    </w:p>
    <w:p>
      <w:pPr>
        <w:spacing w:after="30" w:line="245" w:lineRule="auto"/>
        <w:ind w:left="403" w:hanging="403"/>
      </w:pPr>
      <w:r>
        <w:rPr>
          <w:rFonts w:ascii="Arial" w:hAnsi="Arial"/>
          <w:b w:val="0"/>
          <w:sz w:val="20"/>
        </w:rPr>
        <w:t xml:space="preserve">1.  </w:t>
      </w:r>
      <w:r>
        <w:rPr>
          <w:rFonts w:ascii="Arial" w:hAnsi="Arial"/>
          <w:b w:val="0"/>
          <w:sz w:val="20"/>
        </w:rPr>
        <w:t>Un ticket de ISPwash crea exactamente un caso técnico enlazado.</w:t>
      </w:r>
    </w:p>
    <w:p>
      <w:pPr>
        <w:spacing w:after="30" w:line="245" w:lineRule="auto"/>
        <w:ind w:left="403" w:hanging="403"/>
      </w:pPr>
      <w:r>
        <w:rPr>
          <w:rFonts w:ascii="Arial" w:hAnsi="Arial"/>
          <w:b w:val="0"/>
          <w:sz w:val="20"/>
        </w:rPr>
        <w:t xml:space="preserve">2.  </w:t>
      </w:r>
      <w:r>
        <w:rPr>
          <w:rFonts w:ascii="Arial" w:hAnsi="Arial"/>
          <w:b w:val="0"/>
          <w:sz w:val="20"/>
        </w:rPr>
        <w:t>Un webhook o reintento duplicado no produce registros duplicados.</w:t>
      </w:r>
    </w:p>
    <w:p>
      <w:pPr>
        <w:spacing w:after="30" w:line="245" w:lineRule="auto"/>
        <w:ind w:left="403" w:hanging="403"/>
      </w:pPr>
      <w:r>
        <w:rPr>
          <w:rFonts w:ascii="Arial" w:hAnsi="Arial"/>
          <w:b w:val="0"/>
          <w:sz w:val="20"/>
        </w:rPr>
        <w:t xml:space="preserve">3.  </w:t>
      </w:r>
      <w:r>
        <w:rPr>
          <w:rFonts w:ascii="Arial" w:hAnsi="Arial"/>
          <w:b w:val="0"/>
          <w:sz w:val="20"/>
        </w:rPr>
        <w:t>Un cliente con varios servicios queda vinculado al service_id correcto.</w:t>
      </w:r>
    </w:p>
    <w:p>
      <w:pPr>
        <w:spacing w:after="30" w:line="245" w:lineRule="auto"/>
        <w:ind w:left="403" w:hanging="403"/>
      </w:pPr>
      <w:r>
        <w:rPr>
          <w:rFonts w:ascii="Arial" w:hAnsi="Arial"/>
          <w:b w:val="0"/>
          <w:sz w:val="20"/>
        </w:rPr>
        <w:t xml:space="preserve">4.  </w:t>
      </w:r>
      <w:r>
        <w:rPr>
          <w:rFonts w:ascii="Arial" w:hAnsi="Arial"/>
          <w:b w:val="0"/>
          <w:sz w:val="20"/>
        </w:rPr>
        <w:t>El snapshot de infraestructura se conserva históricamente.</w:t>
      </w:r>
    </w:p>
    <w:p>
      <w:pPr>
        <w:spacing w:after="30" w:line="245" w:lineRule="auto"/>
        <w:ind w:left="403" w:hanging="403"/>
      </w:pPr>
      <w:r>
        <w:rPr>
          <w:rFonts w:ascii="Arial" w:hAnsi="Arial"/>
          <w:b w:val="0"/>
          <w:sz w:val="20"/>
        </w:rPr>
        <w:t xml:space="preserve">5.  </w:t>
      </w:r>
      <w:r>
        <w:rPr>
          <w:rFonts w:ascii="Arial" w:hAnsi="Arial"/>
          <w:b w:val="0"/>
          <w:sz w:val="20"/>
        </w:rPr>
        <w:t>La plataforma puede publicar diagnósticos iniciales y finales estructurados.</w:t>
      </w:r>
    </w:p>
    <w:p>
      <w:pPr>
        <w:spacing w:after="30" w:line="245" w:lineRule="auto"/>
        <w:ind w:left="403" w:hanging="403"/>
      </w:pPr>
      <w:r>
        <w:rPr>
          <w:rFonts w:ascii="Arial" w:hAnsi="Arial"/>
          <w:b w:val="0"/>
          <w:sz w:val="20"/>
        </w:rPr>
        <w:t xml:space="preserve">6.  </w:t>
      </w:r>
      <w:r>
        <w:rPr>
          <w:rFonts w:ascii="Arial" w:hAnsi="Arial"/>
          <w:b w:val="0"/>
          <w:sz w:val="20"/>
        </w:rPr>
        <w:t>Los resultados crudos permanecen protegidos y ISPwash recibe el resumen autorizado.</w:t>
      </w:r>
    </w:p>
    <w:p>
      <w:pPr>
        <w:spacing w:after="30" w:line="245" w:lineRule="auto"/>
        <w:ind w:left="403" w:hanging="403"/>
      </w:pPr>
      <w:r>
        <w:rPr>
          <w:rFonts w:ascii="Arial" w:hAnsi="Arial"/>
          <w:b w:val="0"/>
          <w:sz w:val="20"/>
        </w:rPr>
        <w:t xml:space="preserve">7.  </w:t>
      </w:r>
      <w:r>
        <w:rPr>
          <w:rFonts w:ascii="Arial" w:hAnsi="Arial"/>
          <w:b w:val="0"/>
          <w:sz w:val="20"/>
        </w:rPr>
        <w:t>La plataforma no modifica configuraciones de red en la V1.</w:t>
      </w:r>
    </w:p>
    <w:p>
      <w:pPr>
        <w:spacing w:after="30" w:line="245" w:lineRule="auto"/>
        <w:ind w:left="403" w:hanging="403"/>
      </w:pPr>
      <w:r>
        <w:rPr>
          <w:rFonts w:ascii="Arial" w:hAnsi="Arial"/>
          <w:b w:val="0"/>
          <w:sz w:val="20"/>
        </w:rPr>
        <w:t xml:space="preserve">8.  </w:t>
      </w:r>
      <w:r>
        <w:rPr>
          <w:rFonts w:ascii="Arial" w:hAnsi="Arial"/>
          <w:b w:val="0"/>
          <w:sz w:val="20"/>
        </w:rPr>
        <w:t>No se exponen contraseñas, secretos ni datos innecesarios.</w:t>
      </w:r>
    </w:p>
    <w:p>
      <w:pPr>
        <w:spacing w:after="30" w:line="245" w:lineRule="auto"/>
        <w:ind w:left="403" w:hanging="403"/>
      </w:pPr>
      <w:r>
        <w:rPr>
          <w:rFonts w:ascii="Arial" w:hAnsi="Arial"/>
          <w:b w:val="0"/>
          <w:sz w:val="20"/>
        </w:rPr>
        <w:t xml:space="preserve">9.  </w:t>
      </w:r>
      <w:r>
        <w:rPr>
          <w:rFonts w:ascii="Arial" w:hAnsi="Arial"/>
          <w:b w:val="0"/>
          <w:sz w:val="20"/>
        </w:rPr>
        <w:t>Toda operación queda auditada e incluye correlation_id.</w:t>
      </w:r>
    </w:p>
    <w:p>
      <w:pPr>
        <w:spacing w:after="30" w:line="245" w:lineRule="auto"/>
        <w:ind w:left="403" w:hanging="403"/>
      </w:pPr>
      <w:r>
        <w:rPr>
          <w:rFonts w:ascii="Arial" w:hAnsi="Arial"/>
          <w:b w:val="0"/>
          <w:sz w:val="20"/>
        </w:rPr>
        <w:t xml:space="preserve">10.  </w:t>
      </w:r>
      <w:r>
        <w:rPr>
          <w:rFonts w:ascii="Arial" w:hAnsi="Arial"/>
          <w:b w:val="0"/>
          <w:sz w:val="20"/>
        </w:rPr>
        <w:t>ISPwash continúa siendo operativo si la plataforma falla.</w:t>
      </w:r>
    </w:p>
    <w:p>
      <w:pPr>
        <w:spacing w:after="30" w:line="245" w:lineRule="auto"/>
        <w:ind w:left="403" w:hanging="403"/>
      </w:pPr>
      <w:r>
        <w:rPr>
          <w:rFonts w:ascii="Arial" w:hAnsi="Arial"/>
          <w:b w:val="0"/>
          <w:sz w:val="20"/>
        </w:rPr>
        <w:t xml:space="preserve">11.  </w:t>
      </w:r>
      <w:r>
        <w:rPr>
          <w:rFonts w:ascii="Arial" w:hAnsi="Arial"/>
          <w:b w:val="0"/>
          <w:sz w:val="20"/>
        </w:rPr>
        <w:t>La plataforma recupera tickets y estados faltantes después de una caída.</w:t>
      </w:r>
    </w:p>
    <w:p>
      <w:pPr>
        <w:spacing w:after="30" w:line="245" w:lineRule="auto"/>
        <w:ind w:left="403" w:hanging="403"/>
      </w:pPr>
      <w:r>
        <w:rPr>
          <w:rFonts w:ascii="Arial" w:hAnsi="Arial"/>
          <w:b w:val="0"/>
          <w:sz w:val="20"/>
        </w:rPr>
        <w:t xml:space="preserve">12.  </w:t>
      </w:r>
      <w:r>
        <w:rPr>
          <w:rFonts w:ascii="Arial" w:hAnsi="Arial"/>
          <w:b w:val="0"/>
          <w:sz w:val="20"/>
        </w:rPr>
        <w:t>Las operaciones pendientes sobreviven a reinicios.</w:t>
      </w:r>
    </w:p>
    <w:p>
      <w:pPr>
        <w:spacing w:after="30" w:line="245" w:lineRule="auto"/>
        <w:ind w:left="403" w:hanging="403"/>
      </w:pPr>
      <w:r>
        <w:rPr>
          <w:rFonts w:ascii="Arial" w:hAnsi="Arial"/>
          <w:b w:val="0"/>
          <w:sz w:val="20"/>
        </w:rPr>
        <w:t xml:space="preserve">13.  </w:t>
      </w:r>
      <w:r>
        <w:rPr>
          <w:rFonts w:ascii="Arial" w:hAnsi="Arial"/>
          <w:b w:val="0"/>
          <w:sz w:val="20"/>
        </w:rPr>
        <w:t>El cierre oficial realizado en ISPwash se refleja correctamente en la plataforma.</w:t>
      </w:r>
    </w:p>
    <w:p>
      <w:pPr>
        <w:spacing w:after="30" w:line="245" w:lineRule="auto"/>
        <w:ind w:left="403" w:hanging="403"/>
      </w:pPr>
      <w:r>
        <w:rPr>
          <w:rFonts w:ascii="Arial" w:hAnsi="Arial"/>
          <w:b w:val="0"/>
          <w:sz w:val="20"/>
        </w:rPr>
        <w:t xml:space="preserve">14.  </w:t>
      </w:r>
      <w:r>
        <w:rPr>
          <w:rFonts w:ascii="Arial" w:hAnsi="Arial"/>
          <w:b w:val="0"/>
          <w:sz w:val="20"/>
        </w:rPr>
        <w:t>Las credenciales pueden rotarse sin cambiar código.</w:t>
      </w:r>
    </w:p>
    <w:p>
      <w:pPr>
        <w:spacing w:after="30" w:line="245" w:lineRule="auto"/>
        <w:ind w:left="403" w:hanging="403"/>
      </w:pPr>
      <w:r>
        <w:rPr>
          <w:rFonts w:ascii="Arial" w:hAnsi="Arial"/>
          <w:b w:val="0"/>
          <w:sz w:val="20"/>
        </w:rPr>
        <w:t xml:space="preserve">15.  </w:t>
      </w:r>
      <w:r>
        <w:rPr>
          <w:rFonts w:ascii="Arial" w:hAnsi="Arial"/>
          <w:b w:val="0"/>
          <w:sz w:val="20"/>
        </w:rPr>
        <w:t>Existe sandbox y prueba de contrato antes de producción.</w:t>
      </w:r>
    </w:p>
    <w:p>
      <w:pPr/>
      <w:r>
        <w:t>16.  El OpenAPI oficial sanitizado puede analizarse localmente sin secretos, persistencia ni llamadas salientes.</w:t>
      </w:r>
    </w:p>
    <w:p>
      <w:pPr/>
      <w:r>
        <w:t>17.  El mapeo de campos y eventos queda aprobado manualmente antes de habilitar cualquier conexión de red.</w:t>
      </w:r>
    </w:p>
    <w:p>
      <w:pPr/>
      <w:r>
        <w:t>18.  El piloto inicial no crea, transiciona, reabre ni cierra tickets; solo consulta y, en una fase posterior, enriquece campos técnicos expresamente autorizados.</w:t>
      </w:r>
    </w:p>
    <w:p>
      <w:pPr>
        <w:pStyle w:val="Heading1"/>
        <w:keepNext/>
        <w:pageBreakBefore w:val="0"/>
        <w:spacing w:before="200" w:after="100"/>
      </w:pPr>
      <w:r>
        <w:t>37. Entregables solicitados a ISPwash — Subfases 2A y 2B</w:t>
      </w:r>
    </w:p>
    <w:p>
      <w:pPr>
        <w:pStyle w:val="Heading2"/>
      </w:pPr>
      <w:r>
        <w:t>37.1. Entregables inmediatos — Subfase 2A</w:t>
      </w:r>
    </w:p>
    <w:p>
      <w:pPr>
        <w:pStyle w:val="ListBullet"/>
        <w:spacing w:after="40" w:line="254" w:lineRule="auto"/>
      </w:pPr>
      <w:r>
        <w:t>OpenAPI oficial en JSON UTF-8, versión 3.0.x o 3.1.x, sanitizado, fechado y preferiblemente con SHA-256.</w:t>
      </w:r>
    </w:p>
    <w:p>
      <w:pPr>
        <w:pStyle w:val="ListBullet"/>
        <w:spacing w:after="40" w:line="254" w:lineRule="auto"/>
      </w:pPr>
      <w:r>
        <w:t>URL y características del sandbox; credenciales de solo lectura se entregarán después de aprobar el contrato.</w:t>
      </w:r>
    </w:p>
    <w:p>
      <w:pPr>
        <w:pStyle w:val="ListBullet"/>
        <w:spacing w:after="40" w:line="254" w:lineRule="auto"/>
      </w:pPr>
      <w:r>
        <w:t>Modelo oficial de autenticación, permisos/scopes, expiración, rotación y revocación.</w:t>
      </w:r>
    </w:p>
    <w:p>
      <w:pPr>
        <w:pStyle w:val="ListBullet"/>
        <w:spacing w:after="40" w:line="254" w:lineRule="auto"/>
      </w:pPr>
      <w:r>
        <w:t>Diccionario de identificadores estables, campos, catálogos, campos personalizados y relaciones cliente–servicio–router lógico/NAS–ticket.</w:t>
      </w:r>
    </w:p>
    <w:p>
      <w:pPr>
        <w:pStyle w:val="ListBullet"/>
        <w:spacing w:after="40" w:line="254" w:lineRule="auto"/>
      </w:pPr>
      <w:r>
        <w:t>Ejemplos sanitizados, errores, paginación, rate limits, historial, webhooks o consulta incremental y política de versionamiento.</w:t>
      </w:r>
    </w:p>
    <w:p>
      <w:pPr>
        <w:pStyle w:val="Heading2"/>
      </w:pPr>
      <w:r>
        <w:t>37.2. Entregables de implementación — Subfase 2B</w:t>
      </w:r>
    </w:p>
    <w:p>
      <w:pPr>
        <w:pStyle w:val="ListBullet"/>
        <w:spacing w:after="40" w:line="254" w:lineRule="auto"/>
      </w:pPr>
      <w:r>
        <w:t>Matriz de mapeo CNO ↔ ISPwash aprobada, con idempotencia, control de versión y auditoría.</w:t>
      </w:r>
    </w:p>
    <w:p>
      <w:pPr>
        <w:pStyle w:val="ListBullet"/>
        <w:spacing w:after="40" w:line="254" w:lineRule="auto"/>
      </w:pPr>
      <w:r>
        <w:t>Conector de solo lectura, conciliación y pruebas de recuperación antes de cualquier escritura.</w:t>
      </w:r>
    </w:p>
    <w:p>
      <w:pPr>
        <w:pStyle w:val="ListBullet"/>
        <w:spacing w:after="40" w:line="254" w:lineRule="auto"/>
      </w:pPr>
      <w:r>
        <w:t>Operaciones controladas para publicar diagnósticos, comentarios o evidencias en tickets existentes.</w:t>
      </w:r>
    </w:p>
    <w:p>
      <w:pPr>
        <w:pStyle w:val="ListBullet"/>
        <w:spacing w:after="40" w:line="254" w:lineRule="auto"/>
      </w:pPr>
      <w:r>
        <w:t>Webhooks firmados o polling incremental, manejo de duplicados, reintentos y conflictos.</w:t>
      </w:r>
    </w:p>
    <w:p>
      <w:pPr>
        <w:pStyle w:val="ListBullet"/>
        <w:spacing w:after="40" w:line="254" w:lineRule="auto"/>
      </w:pPr>
      <w:r>
        <w:t>Plan de pruebas de contrato, seguridad, piloto y aceptación; costos y dependencias de la Subfase 2B.</w:t>
      </w:r>
    </w:p>
    <w:p>
      <w:pPr>
        <w:pStyle w:val="ListBullet"/>
        <w:spacing w:after="40" w:line="254" w:lineRule="auto"/>
      </w:pPr>
      <w:r>
        <w:t>Contacto técnico, procedimiento de soporte, mantenimiento y gestión de cambios de la integración.</w:t>
      </w:r>
    </w:p>
    <w:p>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pPr>
              <w:jc w:val="center"/>
            </w:pPr>
            <w:r>
              <w:rPr>
                <w:rFonts w:ascii="Arial" w:hAnsi="Arial" w:eastAsia="Arial"/>
                <w:b/>
                <w:i w:val="0"/>
                <w:color w:val="FFFFFF"/>
                <w:sz w:val="22"/>
              </w:rPr>
              <w:t>SECUENCIA DE EJECUCIÓN, RESPUESTA Y GOBIERNO</w:t>
            </w:r>
          </w:p>
        </w:tc>
      </w:tr>
    </w:tbl>
    <w:p>
      <w:pPr>
        <w:spacing w:after="20"/>
      </w:pPr>
    </w:p>
    <w:p>
      <w:pPr>
        <w:pStyle w:val="Heading1"/>
        <w:keepNext/>
        <w:spacing w:before="200" w:after="100"/>
      </w:pPr>
      <w:r>
        <w:rPr>
          <w:rFonts w:ascii="Arial" w:hAnsi="Arial" w:eastAsia="Arial"/>
          <w:b/>
          <w:color w:val="123B5D"/>
          <w:sz w:val="30"/>
        </w:rPr>
        <w:t>38. Secuencia recomendada del proyecto</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Etapa</w:t>
            </w:r>
          </w:p>
        </w:tc>
        <w:tc>
          <w:tcPr>
            <w:tcW w:type="dxa" w:w="525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Actividad</w:t>
            </w:r>
          </w:p>
        </w:tc>
        <w:tc>
          <w:tcPr>
            <w:tcW w:type="dxa" w:w="2808"/>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7"/>
              </w:rPr>
              <w:t>Puerta de salida</w:t>
            </w:r>
          </w:p>
        </w:tc>
      </w:tr>
      <w:tr>
        <w:trPr>
          <w:cantSplit/>
        </w:trPr>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0. Descubrimiento y contrato 2A</w:t>
            </w:r>
          </w:p>
        </w:tc>
        <w:tc>
          <w:tcPr>
            <w:tcW w:type="dxa" w:w="525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ISPwash responde la matriz y entrega OpenAPI sanitizado, ambientes, autenticación y ejemplos; puede ocurrir en paralelo con la Solicitud 1.</w:t>
            </w:r>
          </w:p>
        </w:tc>
        <w:tc>
          <w:tcPr>
            <w:tcW w:type="dxa" w:w="280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Contrato oficial recibido y analizado; brechas identificadas sin conexión productiva.</w:t>
            </w:r>
          </w:p>
        </w:tc>
      </w:tr>
      <w:tr>
        <w:trPr>
          <w:cantSplit/>
        </w:trPr>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1. Diseño funcional</w:t>
            </w:r>
          </w:p>
        </w:tc>
        <w:tc>
          <w:tcPr>
            <w:tcW w:type="dxa" w:w="525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Prototipo de ticket, campos, catálogos, estados, roles y reportes.</w:t>
            </w:r>
          </w:p>
        </w:tc>
        <w:tc>
          <w:tcPr>
            <w:tcW w:type="dxa" w:w="280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Aprobación de Colombia Net.</w:t>
            </w:r>
          </w:p>
        </w:tc>
      </w:tr>
      <w:tr>
        <w:trPr>
          <w:cantSplit/>
        </w:trPr>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2. Configuración/desarrollo Fase 1</w:t>
            </w:r>
          </w:p>
        </w:tc>
        <w:tc>
          <w:tcPr>
            <w:tcW w:type="dxa" w:w="525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Implementación en sandbox y pruebas de usuario.</w:t>
            </w:r>
          </w:p>
        </w:tc>
        <w:tc>
          <w:tcPr>
            <w:tcW w:type="dxa" w:w="280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Criterios de aceptación funcional cumplidos.</w:t>
            </w:r>
          </w:p>
        </w:tc>
      </w:tr>
      <w:tr>
        <w:trPr>
          <w:cantSplit/>
        </w:trPr>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3. Congelación funcional V1</w:t>
            </w:r>
          </w:p>
        </w:tc>
        <w:tc>
          <w:tcPr>
            <w:tcW w:type="dxa" w:w="525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Versionar catálogos, campos, estados, códigos técnicos y reglas de cierre.</w:t>
            </w:r>
          </w:p>
        </w:tc>
        <w:tc>
          <w:tcPr>
            <w:tcW w:type="dxa" w:w="280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Modelo estable y exposición API definida.</w:t>
            </w:r>
          </w:p>
        </w:tc>
      </w:tr>
      <w:tr>
        <w:trPr>
          <w:cantSplit/>
        </w:trPr>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4. Mapeo contractual 2A → 2B</w:t>
            </w:r>
          </w:p>
        </w:tc>
        <w:tc>
          <w:tcPr>
            <w:tcW w:type="dxa" w:w="525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Mapear el OpenAPI real contra el contrato canónico CNO y ejecutar pruebas offline/sandbox.</w:t>
            </w:r>
          </w:p>
        </w:tc>
        <w:tc>
          <w:tcPr>
            <w:tcW w:type="dxa" w:w="280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Mapeo humano aprobado; cero campos inventados.</w:t>
            </w:r>
          </w:p>
        </w:tc>
      </w:tr>
      <w:tr>
        <w:trPr>
          <w:cantSplit/>
        </w:trPr>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5. Piloto de solo lectura 2B</w:t>
            </w:r>
          </w:p>
        </w:tc>
        <w:tc>
          <w:tcPr>
            <w:tcW w:type="dxa" w:w="525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Sincronización de clientes, servicios, tickets, historial e infraestructura sin escrituras.</w:t>
            </w:r>
          </w:p>
        </w:tc>
        <w:tc>
          <w:tcPr>
            <w:tcW w:type="dxa" w:w="280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Conciliación sin diferencias críticas.</w:t>
            </w:r>
          </w:p>
        </w:tc>
      </w:tr>
      <w:tr>
        <w:trPr>
          <w:cantSplit/>
        </w:trPr>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6. Escritura técnica controlada 2B</w:t>
            </w:r>
          </w:p>
        </w:tc>
        <w:tc>
          <w:tcPr>
            <w:tcW w:type="dxa" w:w="525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Publicación de diagnósticos, comentarios o evidencias en tickets existentes.</w:t>
            </w:r>
          </w:p>
        </w:tc>
        <w:tc>
          <w:tcPr>
            <w:tcW w:type="dxa" w:w="280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7"/>
              </w:rPr>
              <w:t>Idempotencia, auditoría y recuperación validadas.</w:t>
            </w:r>
          </w:p>
        </w:tc>
      </w:tr>
      <w:tr>
        <w:trPr>
          <w:cantSplit/>
        </w:trPr>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7. Piloto operativo</w:t>
            </w:r>
          </w:p>
        </w:tc>
        <w:tc>
          <w:tcPr>
            <w:tcW w:type="dxa" w:w="525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Casos radio y FTTH controlados.</w:t>
            </w:r>
          </w:p>
        </w:tc>
        <w:tc>
          <w:tcPr>
            <w:tcW w:type="dxa" w:w="2808"/>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Aceptación conjunta.</w:t>
            </w:r>
          </w:p>
        </w:tc>
      </w:tr>
      <w:tr>
        <w:trPr>
          <w:cantSplit/>
        </w:trPr>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8. Producción progresiva</w:t>
            </w:r>
          </w:p>
        </w:tc>
        <w:tc>
          <w:tcPr>
            <w:tcW w:type="dxa" w:w="525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Activación por zonas y monitoreo.</w:t>
            </w:r>
          </w:p>
        </w:tc>
        <w:tc>
          <w:tcPr>
            <w:tcW w:type="dxa" w:w="2808"/>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7"/>
              </w:rPr>
              <w:t>Operación estable y medible.</w:t>
            </w:r>
          </w:p>
        </w:tc>
      </w:tr>
    </w:tbl>
    <w:p>
      <w:pPr>
        <w:spacing w:after="20"/>
      </w:pPr>
    </w:p>
    <w:p>
      <w:pPr>
        <w:pStyle w:val="Heading1"/>
        <w:keepNext/>
        <w:spacing w:before="200" w:after="100"/>
      </w:pPr>
      <w:r>
        <w:rPr>
          <w:rFonts w:ascii="Arial" w:hAnsi="Arial" w:eastAsia="Arial"/>
          <w:b/>
          <w:color w:val="123B5D"/>
          <w:sz w:val="30"/>
        </w:rPr>
        <w:t>39. Respuesta formal requerida de ISPwash</w:t>
      </w:r>
    </w:p>
    <w:p>
      <w:pPr>
        <w:keepNext w:val="0"/>
        <w:spacing w:after="100" w:line="269" w:lineRule="auto"/>
      </w:pPr>
      <w:r>
        <w:rPr>
          <w:rFonts w:ascii="Arial" w:hAnsi="Arial" w:eastAsia="Arial"/>
          <w:b w:val="0"/>
          <w:i w:val="0"/>
          <w:color w:val="3D4A52"/>
          <w:sz w:val="21"/>
        </w:rPr>
        <w:t>Para cada requisito solicitamos una respuesta con la siguiente clasificación: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Estado de respuesta</w:t>
            </w:r>
          </w:p>
        </w:tc>
        <w:tc>
          <w:tcPr>
            <w:tcW w:type="dxa" w:w="6840"/>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Significado</w:t>
            </w:r>
          </w:p>
        </w:tc>
      </w:tr>
      <w:tr>
        <w:trPr>
          <w:cantSplit/>
        </w:trPr>
        <w:tc>
          <w:tcPr>
            <w:tcW w:type="dxa" w:w="288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Disponible actualmente</w:t>
            </w:r>
          </w:p>
        </w:tc>
        <w:tc>
          <w:tcPr>
            <w:tcW w:type="dxa" w:w="68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Existe y puede demostrarse en el producto actual.</w:t>
            </w:r>
          </w:p>
        </w:tc>
      </w:tr>
      <w:tr>
        <w:trPr>
          <w:cantSplit/>
        </w:trPr>
        <w:tc>
          <w:tcPr>
            <w:tcW w:type="dxa" w:w="288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Disponible con configuración</w:t>
            </w:r>
          </w:p>
        </w:tc>
        <w:tc>
          <w:tcPr>
            <w:tcW w:type="dxa" w:w="684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No requiere desarrollo, pero sí parametrización o cambio de plan.</w:t>
            </w:r>
          </w:p>
        </w:tc>
      </w:tr>
      <w:tr>
        <w:trPr>
          <w:cantSplit/>
        </w:trPr>
        <w:tc>
          <w:tcPr>
            <w:tcW w:type="dxa" w:w="288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Requiere desarrollo</w:t>
            </w:r>
          </w:p>
        </w:tc>
        <w:tc>
          <w:tcPr>
            <w:tcW w:type="dxa" w:w="68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Necesita ajuste del producto o trabajo específico.</w:t>
            </w:r>
          </w:p>
        </w:tc>
      </w:tr>
      <w:tr>
        <w:trPr>
          <w:cantSplit/>
        </w:trPr>
        <w:tc>
          <w:tcPr>
            <w:tcW w:type="dxa" w:w="288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No soportado</w:t>
            </w:r>
          </w:p>
        </w:tc>
        <w:tc>
          <w:tcPr>
            <w:tcW w:type="dxa" w:w="6840"/>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No existe ni está previsto; ISPwash debe indicar alternativa.</w:t>
            </w:r>
          </w:p>
        </w:tc>
      </w:tr>
      <w:tr>
        <w:trPr>
          <w:cantSplit/>
        </w:trPr>
        <w:tc>
          <w:tcPr>
            <w:tcW w:type="dxa" w:w="288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Requiere definición conjunta</w:t>
            </w:r>
          </w:p>
        </w:tc>
        <w:tc>
          <w:tcPr>
            <w:tcW w:type="dxa" w:w="6840"/>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Depende de una decisión funcional o técnica pendiente.</w:t>
            </w:r>
          </w:p>
        </w:tc>
      </w:tr>
    </w:tbl>
    <w:p>
      <w:pPr>
        <w:spacing w:after="20"/>
      </w:pPr>
    </w:p>
    <w:p>
      <w:pPr>
        <w:keepNext w:val="0"/>
        <w:spacing w:after="100" w:line="269" w:lineRule="auto"/>
      </w:pPr>
      <w:r>
        <w:rPr>
          <w:rFonts w:ascii="Arial" w:hAnsi="Arial" w:eastAsia="Arial"/>
          <w:b w:val="0"/>
          <w:i w:val="0"/>
          <w:color w:val="3D4A52"/>
          <w:sz w:val="21"/>
        </w:rPr>
        <w:t>La respuesta debe incluir para cada fase: responsable, dependencias, licencias, costo, forma de entrega, pruebas, restricciones y propuesta de ejecución. Se solicita cotización separada para la Fase 1 y la Fase 2.</w:t>
      </w:r>
    </w:p>
    <w:p>
      <w:pPr>
        <w:pStyle w:val="Heading1"/>
        <w:keepNext/>
        <w:pageBreakBefore w:val="0"/>
        <w:spacing w:before="200" w:after="100"/>
      </w:pPr>
      <w:r>
        <w:rPr>
          <w:rFonts w:ascii="Arial" w:hAnsi="Arial" w:eastAsia="Arial"/>
          <w:b/>
          <w:color w:val="123B5D"/>
          <w:sz w:val="30"/>
        </w:rPr>
        <w:t>40. Reunión solicitada</w:t>
      </w:r>
    </w:p>
    <w:p>
      <w:pPr>
        <w:keepNext w:val="0"/>
        <w:spacing w:after="100" w:line="269" w:lineRule="auto"/>
      </w:pPr>
      <w:r>
        <w:rPr>
          <w:rFonts w:ascii="Arial" w:hAnsi="Arial" w:eastAsia="Arial"/>
          <w:b w:val="0"/>
          <w:i w:val="0"/>
          <w:color w:val="3D4A52"/>
          <w:sz w:val="21"/>
        </w:rPr>
        <w:t>Después de recibir la matriz de capacidades, solicitamos una reunión con los responsables de producto/desarrollo e integración de ISPwash para:</w:t>
      </w:r>
    </w:p>
    <w:p>
      <w:pPr>
        <w:pStyle w:val="ListBullet"/>
        <w:spacing w:after="40" w:line="254" w:lineRule="auto"/>
      </w:pPr>
      <w:r>
        <w:rPr>
          <w:rFonts w:ascii="Arial" w:hAnsi="Arial" w:eastAsia="Arial"/>
          <w:b w:val="0"/>
          <w:i w:val="0"/>
          <w:color w:val="3D4A52"/>
          <w:sz w:val="21"/>
        </w:rPr>
        <w:t>Validar el alcance exclusivo de soporte.</w:t>
      </w:r>
    </w:p>
    <w:p>
      <w:pPr>
        <w:pStyle w:val="ListBullet"/>
        <w:spacing w:after="40" w:line="254" w:lineRule="auto"/>
      </w:pPr>
      <w:r>
        <w:rPr>
          <w:rFonts w:ascii="Arial" w:hAnsi="Arial" w:eastAsia="Arial"/>
          <w:b w:val="0"/>
          <w:i w:val="0"/>
          <w:color w:val="3D4A52"/>
          <w:sz w:val="21"/>
        </w:rPr>
        <w:t>Revisar el prototipo del ticket y los catálogos.</w:t>
      </w:r>
    </w:p>
    <w:p>
      <w:pPr>
        <w:pStyle w:val="ListBullet"/>
        <w:spacing w:after="40" w:line="254" w:lineRule="auto"/>
      </w:pPr>
      <w:r>
        <w:rPr>
          <w:rFonts w:ascii="Arial" w:hAnsi="Arial" w:eastAsia="Arial"/>
          <w:b w:val="0"/>
          <w:i w:val="0"/>
          <w:color w:val="3D4A52"/>
          <w:sz w:val="21"/>
        </w:rPr>
        <w:t>Confirmar qué información ya existe en clientes, servicios e instalaciones.</w:t>
      </w:r>
    </w:p>
    <w:p>
      <w:pPr>
        <w:pStyle w:val="ListBullet"/>
        <w:spacing w:after="40" w:line="254" w:lineRule="auto"/>
      </w:pPr>
      <w:r>
        <w:rPr>
          <w:rFonts w:ascii="Arial" w:hAnsi="Arial" w:eastAsia="Arial"/>
          <w:b w:val="0"/>
          <w:i w:val="0"/>
          <w:color w:val="3D4A52"/>
          <w:sz w:val="21"/>
        </w:rPr>
        <w:t>Acordar la secuencia de implementación.</w:t>
      </w:r>
    </w:p>
    <w:p>
      <w:pPr>
        <w:pStyle w:val="ListBullet"/>
        <w:spacing w:after="40" w:line="254" w:lineRule="auto"/>
      </w:pPr>
      <w:r>
        <w:rPr>
          <w:rFonts w:ascii="Arial" w:hAnsi="Arial" w:eastAsia="Arial"/>
          <w:b w:val="0"/>
          <w:i w:val="0"/>
          <w:color w:val="3D4A52"/>
          <w:sz w:val="21"/>
        </w:rPr>
        <w:t>Revisar autenticación, sandbox, webhooks, rate limits y auditoría.</w:t>
      </w:r>
    </w:p>
    <w:p>
      <w:pPr>
        <w:pStyle w:val="ListBullet"/>
        <w:spacing w:after="40" w:line="254" w:lineRule="auto"/>
      </w:pPr>
      <w:r>
        <w:rPr>
          <w:rFonts w:ascii="Arial" w:hAnsi="Arial" w:eastAsia="Arial"/>
          <w:b w:val="0"/>
          <w:i w:val="0"/>
          <w:color w:val="3D4A52"/>
          <w:sz w:val="21"/>
        </w:rPr>
        <w:t>Definir el piloto y los responsables de aceptación.</w:t>
      </w:r>
    </w:p>
    <w:p>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pPr>
              <w:jc w:val="center"/>
            </w:pPr>
            <w:r>
              <w:rPr>
                <w:rFonts w:ascii="Arial" w:hAnsi="Arial" w:eastAsia="Arial"/>
                <w:b/>
                <w:i w:val="0"/>
                <w:color w:val="FFFFFF"/>
                <w:sz w:val="22"/>
              </w:rPr>
              <w:t>ANEXO A · CATÁLOGOS FUNCIONALES DE REFERENCIA</w:t>
            </w:r>
          </w:p>
        </w:tc>
      </w:tr>
    </w:tbl>
    <w:p>
      <w:pPr>
        <w:spacing w:after="20"/>
      </w:pPr>
    </w:p>
    <w:p>
      <w:pPr>
        <w:pStyle w:val="Heading1"/>
        <w:keepNext/>
        <w:spacing w:before="200" w:after="100"/>
      </w:pPr>
      <w:r>
        <w:rPr>
          <w:rFonts w:ascii="Arial" w:hAnsi="Arial" w:eastAsia="Arial"/>
          <w:b/>
          <w:color w:val="123B5D"/>
          <w:sz w:val="30"/>
        </w:rPr>
        <w:t>A.1. Catálogo de síntomas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29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Código</w:t>
            </w:r>
          </w:p>
        </w:tc>
        <w:tc>
          <w:tcPr>
            <w:tcW w:type="dxa" w:w="8424"/>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Síntoma</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S01</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Sin Internet</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S02</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Servicio intermitente</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S03</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Velocidad baja</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S04</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Latencia alta</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S05</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Pérdida de paquetes</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S06</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Cobertura Wi-Fi deficiente</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S07</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Wi-Fi conectado, pero sin Internet</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S08</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No autentica o no obtiene conexión</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S09</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Equipo apagado o sin energía</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S10</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Equipo reiniciándose</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S11</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Daño físico visible</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S12</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Señal RF deficiente</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S13</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Alarma o pérdida de señal óptica</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S14</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Página o aplicación específica</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S15</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IP pública o servicio especial</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S16</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Otro síntoma técnico; explicación obligatoria</w:t>
            </w:r>
          </w:p>
        </w:tc>
      </w:tr>
    </w:tbl>
    <w:p>
      <w:pPr>
        <w:spacing w:after="20"/>
      </w:pPr>
    </w:p>
    <w:p>
      <w:pPr>
        <w:pStyle w:val="Heading1"/>
        <w:keepNext/>
        <w:spacing w:before="200" w:after="100"/>
      </w:pPr>
      <w:r>
        <w:rPr>
          <w:rFonts w:ascii="Arial" w:hAnsi="Arial" w:eastAsia="Arial"/>
          <w:b/>
          <w:color w:val="123B5D"/>
          <w:sz w:val="30"/>
        </w:rPr>
        <w:t>A.2. Familias de causa raíz</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23B5D"/>
            <w:vAlign w:val="center"/>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jc w:val="left"/>
            </w:pPr>
            <w:r>
              <w:rPr>
                <w:rFonts w:ascii="Arial" w:hAnsi="Arial" w:eastAsia="Arial"/>
                <w:b/>
                <w:i w:val="0"/>
                <w:color w:val="FFFFFF"/>
                <w:sz w:val="16"/>
              </w:rPr>
              <w:t>Familia</w:t>
            </w:r>
          </w:p>
        </w:tc>
        <w:tc>
          <w:tcPr>
            <w:tcW w:type="dxa" w:w="2520"/>
            <w:shd w:fill="123B5D"/>
            <w:vAlign w:val="center"/>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jc w:val="left"/>
            </w:pPr>
            <w:r>
              <w:rPr>
                <w:rFonts w:ascii="Arial" w:hAnsi="Arial" w:eastAsia="Arial"/>
                <w:b/>
                <w:i w:val="0"/>
                <w:color w:val="FFFFFF"/>
                <w:sz w:val="16"/>
              </w:rPr>
              <w:t>Categoría</w:t>
            </w:r>
          </w:p>
        </w:tc>
        <w:tc>
          <w:tcPr>
            <w:tcW w:type="dxa" w:w="6263"/>
            <w:shd w:fill="123B5D"/>
            <w:vAlign w:val="center"/>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jc w:val="left"/>
            </w:pPr>
            <w:r>
              <w:rPr>
                <w:rFonts w:ascii="Arial" w:hAnsi="Arial" w:eastAsia="Arial"/>
                <w:b/>
                <w:i w:val="0"/>
                <w:color w:val="FFFFFF"/>
                <w:sz w:val="16"/>
              </w:rPr>
              <w:t>Subcausas de referencia</w:t>
            </w:r>
          </w:p>
        </w:tc>
      </w:tr>
      <w:tr>
        <w:trPr>
          <w:cantSplit/>
        </w:trPr>
        <w:tc>
          <w:tcPr>
            <w:tcW w:type="dxa" w:w="936"/>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RF</w:t>
            </w:r>
          </w:p>
        </w:tc>
        <w:tc>
          <w:tcPr>
            <w:tcW w:type="dxa" w:w="2520"/>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Radiofrecuencia</w:t>
            </w:r>
          </w:p>
        </w:tc>
        <w:tc>
          <w:tcPr>
            <w:tcW w:type="dxa" w:w="6263"/>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Señal baja; interferencia; saturación; desalineación; hardware; cable/PoE; canal/configuración; capacidad.</w:t>
            </w:r>
          </w:p>
        </w:tc>
      </w:tr>
      <w:tr>
        <w:trPr>
          <w:cantSplit/>
        </w:trPr>
        <w:tc>
          <w:tcPr>
            <w:tcW w:type="dxa" w:w="936"/>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FO</w:t>
            </w:r>
          </w:p>
        </w:tc>
        <w:tc>
          <w:tcPr>
            <w:tcW w:type="dxa" w:w="2520"/>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Fibra óptica</w:t>
            </w:r>
          </w:p>
        </w:tc>
        <w:tc>
          <w:tcPr>
            <w:tcW w:type="dxa" w:w="6263"/>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Corte/drop; conector/empalme; potencia; ONU; splitter/ODN; PON/OLT; patchcord; configuración/VLAN.</w:t>
            </w:r>
          </w:p>
        </w:tc>
      </w:tr>
      <w:tr>
        <w:trPr>
          <w:cantSplit/>
        </w:trPr>
        <w:tc>
          <w:tcPr>
            <w:tcW w:type="dxa" w:w="936"/>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CL</w:t>
            </w:r>
          </w:p>
        </w:tc>
        <w:tc>
          <w:tcPr>
            <w:tcW w:type="dxa" w:w="2520"/>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Cliente / instalación interna</w:t>
            </w:r>
          </w:p>
        </w:tc>
        <w:tc>
          <w:tcPr>
            <w:tcW w:type="dxa" w:w="6263"/>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Energía; router; Wi-Fi; cableado; equipo; reset; inestabilidad eléctrica; saturación local.</w:t>
            </w:r>
          </w:p>
        </w:tc>
      </w:tr>
      <w:tr>
        <w:trPr>
          <w:cantSplit/>
        </w:trPr>
        <w:tc>
          <w:tcPr>
            <w:tcW w:type="dxa" w:w="936"/>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AA</w:t>
            </w:r>
          </w:p>
        </w:tc>
        <w:tc>
          <w:tcPr>
            <w:tcW w:type="dxa" w:w="2520"/>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Autenticación y direccionamiento</w:t>
            </w:r>
          </w:p>
        </w:tc>
        <w:tc>
          <w:tcPr>
            <w:tcW w:type="dxa" w:w="6263"/>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PPPoE; RADIUS/NAS; sesión bloqueada; IP/pool; suspensión; perfil o plan.</w:t>
            </w:r>
          </w:p>
        </w:tc>
      </w:tr>
      <w:tr>
        <w:trPr>
          <w:cantSplit/>
        </w:trPr>
        <w:tc>
          <w:tcPr>
            <w:tcW w:type="dxa" w:w="936"/>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RE</w:t>
            </w:r>
          </w:p>
        </w:tc>
        <w:tc>
          <w:tcPr>
            <w:tcW w:type="dxa" w:w="2520"/>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Red ISP</w:t>
            </w:r>
          </w:p>
        </w:tc>
        <w:tc>
          <w:tcPr>
            <w:tcW w:type="dxa" w:w="6263"/>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VLAN/bridge; routing; NAT/firewall/PBR; router de nodo; transporte; DNS/DHCP; congestión; core/cabecera.</w:t>
            </w:r>
          </w:p>
        </w:tc>
      </w:tr>
      <w:tr>
        <w:trPr>
          <w:cantSplit/>
        </w:trPr>
        <w:tc>
          <w:tcPr>
            <w:tcW w:type="dxa" w:w="936"/>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EX</w:t>
            </w:r>
          </w:p>
        </w:tc>
        <w:tc>
          <w:tcPr>
            <w:tcW w:type="dxa" w:w="2520"/>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Externo</w:t>
            </w:r>
          </w:p>
        </w:tc>
        <w:tc>
          <w:tcPr>
            <w:tcW w:type="dxa" w:w="6263"/>
            <w:shd w:fill="F2F4F5"/>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Proveedor upstream; energía comercial; clima; terceros; vandalismo/hurto.</w:t>
            </w:r>
          </w:p>
        </w:tc>
      </w:tr>
      <w:tr>
        <w:trPr>
          <w:cantSplit/>
        </w:trPr>
        <w:tc>
          <w:tcPr>
            <w:tcW w:type="dxa" w:w="936"/>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NF</w:t>
            </w:r>
          </w:p>
        </w:tc>
        <w:tc>
          <w:tcPr>
            <w:tcW w:type="dxa" w:w="2520"/>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Sin falla confirmada</w:t>
            </w:r>
          </w:p>
        </w:tc>
        <w:tc>
          <w:tcPr>
            <w:tcW w:type="dxa" w:w="6263"/>
            <w:vAlign w:val="top"/>
            <w:tcMar>
              <w:top w:w="45" w:type="dxa"/>
              <w:start w:w="65" w:type="dxa"/>
              <w:bottom w:w="45" w:type="dxa"/>
              <w:end w:w="65"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No encontrada; no reproducible; dentro de parámetros; cliente no permitió; no contacto.</w:t>
            </w:r>
          </w:p>
        </w:tc>
      </w:tr>
    </w:tbl>
    <w:p>
      <w:pPr>
        <w:spacing w:after="20"/>
      </w:pPr>
    </w:p>
    <w:p>
      <w:pPr>
        <w:pStyle w:val="Heading1"/>
        <w:keepNext/>
        <w:spacing w:before="200" w:after="100"/>
      </w:pPr>
      <w:r>
        <w:rPr>
          <w:rFonts w:ascii="Arial" w:hAnsi="Arial" w:eastAsia="Arial"/>
          <w:b/>
          <w:color w:val="123B5D"/>
          <w:sz w:val="30"/>
        </w:rPr>
        <w:t>A.3. Catálogo de acciones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296"/>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Código</w:t>
            </w:r>
          </w:p>
        </w:tc>
        <w:tc>
          <w:tcPr>
            <w:tcW w:type="dxa" w:w="8424"/>
            <w:shd w:fill="123B5D"/>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8"/>
              </w:rPr>
              <w:t>Acción principal</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AC01</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Validación remota</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AC02</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Reinicio o reconexión</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AC03</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Reconfiguración</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AC04</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Corrección PPPoE o RADIUS</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AC05</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cable o conector</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AC06</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PoE o fuente</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AC07</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CPE</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AC08</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router</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AC09</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ONU</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AC10</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Realineación</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AC11</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frecuencia o canal</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AC12</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Migración de AP o sector</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AC13</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Reparación o empalme de fibra</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AC14</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Cambio de puerto PON</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AC15</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Ajuste VLAN, routing, NAT o firewall</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AC16</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Corrección de estado comercial</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AC17</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Escalamiento a proveedor</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AC18</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Orientación al usuario</w:t>
            </w:r>
          </w:p>
        </w:tc>
      </w:tr>
      <w:tr>
        <w:trPr>
          <w:cantSplit/>
        </w:trPr>
        <w:tc>
          <w:tcPr>
            <w:tcW w:type="dxa" w:w="129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AC19</w:t>
            </w:r>
          </w:p>
        </w:tc>
        <w:tc>
          <w:tcPr>
            <w:tcW w:type="dxa" w:w="842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Monitoreo sin intervención</w:t>
            </w:r>
          </w:p>
        </w:tc>
      </w:tr>
      <w:tr>
        <w:trPr>
          <w:cantSplit/>
        </w:trPr>
        <w:tc>
          <w:tcPr>
            <w:tcW w:type="dxa" w:w="129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AC20</w:t>
            </w:r>
          </w:p>
        </w:tc>
        <w:tc>
          <w:tcPr>
            <w:tcW w:type="dxa" w:w="842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8"/>
              </w:rPr>
              <w:t>Otra acción</w:t>
            </w:r>
          </w:p>
        </w:tc>
      </w:tr>
    </w:tbl>
    <w:p>
      <w:pPr>
        <w:spacing w:after="20"/>
      </w:pPr>
    </w:p>
    <w:p>
      <w:pPr>
        <w:pStyle w:val="Heading1"/>
        <w:keepNext/>
        <w:spacing w:before="200" w:after="100"/>
      </w:pPr>
      <w:r>
        <w:rPr>
          <w:rFonts w:ascii="Arial" w:hAnsi="Arial" w:eastAsia="Arial"/>
          <w:b/>
          <w:color w:val="123B5D"/>
          <w:sz w:val="30"/>
        </w:rPr>
        <w:t>A.4. Resultados de cierre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296"/>
            <w:shd w:fill="123B5D"/>
            <w:vAlign w:val="center"/>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jc w:val="left"/>
            </w:pPr>
            <w:r>
              <w:rPr>
                <w:rFonts w:ascii="Arial" w:hAnsi="Arial" w:eastAsia="Arial"/>
                <w:b/>
                <w:i w:val="0"/>
                <w:color w:val="FFFFFF"/>
                <w:sz w:val="16"/>
              </w:rPr>
              <w:t>Código</w:t>
            </w:r>
          </w:p>
        </w:tc>
        <w:tc>
          <w:tcPr>
            <w:tcW w:type="dxa" w:w="8424"/>
            <w:shd w:fill="123B5D"/>
            <w:vAlign w:val="center"/>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jc w:val="left"/>
            </w:pPr>
            <w:r>
              <w:rPr>
                <w:rFonts w:ascii="Arial" w:hAnsi="Arial" w:eastAsia="Arial"/>
                <w:b/>
                <w:i w:val="0"/>
                <w:color w:val="FFFFFF"/>
                <w:sz w:val="16"/>
              </w:rPr>
              <w:t>Resultado</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R01</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Solucionado remotamente</w:t>
            </w:r>
          </w:p>
        </w:tc>
      </w:tr>
      <w:tr>
        <w:trPr>
          <w:cantSplit/>
        </w:trPr>
        <w:tc>
          <w:tcPr>
            <w:tcW w:type="dxa" w:w="1296"/>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R02</w:t>
            </w:r>
          </w:p>
        </w:tc>
        <w:tc>
          <w:tcPr>
            <w:tcW w:type="dxa" w:w="8424"/>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Solucionado en primera visita</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R03</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Solucionado después de varias intervenciones</w:t>
            </w:r>
          </w:p>
        </w:tc>
      </w:tr>
      <w:tr>
        <w:trPr>
          <w:cantSplit/>
        </w:trPr>
        <w:tc>
          <w:tcPr>
            <w:tcW w:type="dxa" w:w="1296"/>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R04</w:t>
            </w:r>
          </w:p>
        </w:tc>
        <w:tc>
          <w:tcPr>
            <w:tcW w:type="dxa" w:w="8424"/>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Restablecido por incidente masivo</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R05</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Restablecido por recuperación del proveedor</w:t>
            </w:r>
          </w:p>
        </w:tc>
      </w:tr>
      <w:tr>
        <w:trPr>
          <w:cantSplit/>
        </w:trPr>
        <w:tc>
          <w:tcPr>
            <w:tcW w:type="dxa" w:w="1296"/>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R06</w:t>
            </w:r>
          </w:p>
        </w:tc>
        <w:tc>
          <w:tcPr>
            <w:tcW w:type="dxa" w:w="8424"/>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Problema localizado en red interna del cliente</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R07</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Sin falla técnica confirmada</w:t>
            </w:r>
          </w:p>
        </w:tc>
      </w:tr>
      <w:tr>
        <w:trPr>
          <w:cantSplit/>
        </w:trPr>
        <w:tc>
          <w:tcPr>
            <w:tcW w:type="dxa" w:w="1296"/>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R08</w:t>
            </w:r>
          </w:p>
        </w:tc>
        <w:tc>
          <w:tcPr>
            <w:tcW w:type="dxa" w:w="8424"/>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Falla no reproducible</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R09</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Solución temporal aplicada</w:t>
            </w:r>
          </w:p>
        </w:tc>
      </w:tr>
      <w:tr>
        <w:trPr>
          <w:cantSplit/>
        </w:trPr>
        <w:tc>
          <w:tcPr>
            <w:tcW w:type="dxa" w:w="1296"/>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R10</w:t>
            </w:r>
          </w:p>
        </w:tc>
        <w:tc>
          <w:tcPr>
            <w:tcW w:type="dxa" w:w="8424"/>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Requiere intervención adicional de infraestructura</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R11</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Pendiente de tercero</w:t>
            </w:r>
          </w:p>
        </w:tc>
      </w:tr>
      <w:tr>
        <w:trPr>
          <w:cantSplit/>
        </w:trPr>
        <w:tc>
          <w:tcPr>
            <w:tcW w:type="dxa" w:w="1296"/>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R12</w:t>
            </w:r>
          </w:p>
        </w:tc>
        <w:tc>
          <w:tcPr>
            <w:tcW w:type="dxa" w:w="8424"/>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No resuelto</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R13</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Duplicado y vinculado</w:t>
            </w:r>
          </w:p>
        </w:tc>
      </w:tr>
      <w:tr>
        <w:trPr>
          <w:cantSplit/>
        </w:trPr>
        <w:tc>
          <w:tcPr>
            <w:tcW w:type="dxa" w:w="1296"/>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R14</w:t>
            </w:r>
          </w:p>
        </w:tc>
        <w:tc>
          <w:tcPr>
            <w:tcW w:type="dxa" w:w="8424"/>
            <w:shd w:fill="F2F4F5"/>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Cliente no permitió continuar</w:t>
            </w:r>
          </w:p>
        </w:tc>
      </w:tr>
      <w:tr>
        <w:trPr>
          <w:cantSplit/>
        </w:trPr>
        <w:tc>
          <w:tcPr>
            <w:tcW w:type="dxa" w:w="1296"/>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R15</w:t>
            </w:r>
          </w:p>
        </w:tc>
        <w:tc>
          <w:tcPr>
            <w:tcW w:type="dxa" w:w="8424"/>
            <w:vAlign w:val="top"/>
            <w:tcMar>
              <w:top w:w="45" w:type="dxa"/>
              <w:start w:w="70" w:type="dxa"/>
              <w:bottom w:w="45" w:type="dxa"/>
              <w:end w:w="7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6"/>
              </w:rPr>
              <w:t>No fue posible contactar</w:t>
            </w:r>
          </w:p>
        </w:tc>
      </w:tr>
    </w:tbl>
    <w:p>
      <w:pPr>
        <w:spacing w:after="20"/>
      </w:pPr>
    </w:p>
    <w:p>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pPr>
              <w:jc w:val="center"/>
            </w:pPr>
            <w:r>
              <w:rPr>
                <w:rFonts w:ascii="Arial" w:hAnsi="Arial" w:eastAsia="Arial"/>
                <w:b/>
                <w:i w:val="0"/>
                <w:color w:val="FFFFFF"/>
                <w:sz w:val="22"/>
              </w:rPr>
              <w:t>ANEXO B · MATRIZ CONSOLIDADA DE RESPUESTA PARA ISPWASH</w:t>
            </w:r>
          </w:p>
        </w:tc>
      </w:tr>
    </w:tbl>
    <w:p>
      <w:pPr>
        <w:spacing w:after="20"/>
      </w:pPr>
    </w:p>
    <w:p>
      <w:pPr>
        <w:keepNext w:val="0"/>
        <w:spacing w:after="100" w:line="269" w:lineRule="auto"/>
      </w:pPr>
      <w:r>
        <w:rPr>
          <w:rFonts w:ascii="Arial" w:hAnsi="Arial" w:eastAsia="Arial"/>
          <w:b w:val="0"/>
          <w:i w:val="0"/>
          <w:color w:val="3D4A52"/>
          <w:sz w:val="21"/>
        </w:rPr>
        <w:t>ISPwash podrá completar las columnas “Respuesta”, “Alternativa / dependencia” y “Observaciones comerciales o técnicas”.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5"/>
              </w:rPr>
              <w:t>ID</w:t>
            </w:r>
          </w:p>
        </w:tc>
        <w:tc>
          <w:tcPr>
            <w:tcW w:type="dxa" w:w="936"/>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5"/>
              </w:rPr>
              <w:t>Prioridad</w:t>
            </w:r>
          </w:p>
        </w:tc>
        <w:tc>
          <w:tcPr>
            <w:tcW w:type="dxa" w:w="4392"/>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5"/>
              </w:rPr>
              <w:t>Requerimiento</w:t>
            </w:r>
          </w:p>
        </w:tc>
        <w:tc>
          <w:tcPr>
            <w:tcW w:type="dxa" w:w="1944"/>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5"/>
              </w:rPr>
              <w:t>Respuesta ISPwash</w:t>
            </w:r>
          </w:p>
        </w:tc>
        <w:tc>
          <w:tcPr>
            <w:tcW w:type="dxa" w:w="1655"/>
            <w:shd w:fill="1F6F78"/>
            <w:vAlign w:val="center"/>
            <w:tcMar>
              <w:top w:w="85" w:type="dxa"/>
              <w:start w:w="90" w:type="dxa"/>
              <w:bottom w:w="85" w:type="dxa"/>
              <w:end w:w="90" w:type="dxa"/>
            </w:tcMar>
            <w:tcBorders>
              <w:top w:val="single" w:sz="4" w:color="B7C4CC"/>
              <w:left w:val="single" w:sz="4" w:color="B7C4CC"/>
              <w:bottom w:val="single" w:sz="4" w:color="B7C4CC"/>
              <w:right w:val="single" w:sz="4" w:color="B7C4CC"/>
            </w:tcBorders>
          </w:tcPr>
          <w:p>
            <w:pPr>
              <w:spacing w:after="0"/>
              <w:jc w:val="left"/>
            </w:pPr>
            <w:r>
              <w:rPr>
                <w:rFonts w:ascii="Arial" w:hAnsi="Arial" w:eastAsia="Arial"/>
                <w:b/>
                <w:i w:val="0"/>
                <w:color w:val="FFFFFF"/>
                <w:sz w:val="15"/>
              </w:rPr>
              <w:t>Alternativa / observaciones</w:t>
            </w: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F1-01</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Ticket asociado obligatoriamente a cliente y servicio específico.</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F1-02</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Alcance exclusivo de soporte técnico; exclusión de instalaciones y procesos comerciales.</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F1-03</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Campos independientes para síntoma, causa sospechada, causa confirmada, acción y resultado.</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F1-04</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Estados y transiciones con timestamps e historial.</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F1-05</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Campos condicionales para radio y FTTH.</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F1-06</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Asociación con zona, nodo, AP/OLT, PON y CPE/ONU.</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F1-07</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Snapshot histórico de infraestructura.</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F1-08</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Varias intervenciones por ticket.</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F1-09</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Pruebas iniciales y finales estructuradas.</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F1-10</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Reglas de cierre y excepciones auditadas.</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F1-11</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Adjuntos y evidencia con metadatos.</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F1-12</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Materiales y equipos retirados/instalados.</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F1-13</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Detección de duplicados y tickets abiertos.</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F1-14</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P1</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Reincidencias 7/30/90 días.</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F1-15</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Incidente padre y tickets relacionados.</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F1-16</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P1</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Cálculo de servicios afectados y minutos-cliente.</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F1-17</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Roles, permisos y auditoría.</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F1-18</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Exportación completa y filtros por infraestructura.</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F1-19</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P1</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Tableros con mediana, P90 y P95.</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F1-20</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Zona horaria America/Bogota.</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F2-01</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5"/>
              </w:rPr>
              <w:t>OpenAPI oficial JSON 3.0.x/3.1.x sanitizado, fechado, sandbox y documentación de ambientes (Subfase 2A).</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F2-02</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OAuth2 client_credentials o token equivalente restringido.</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F2-03</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5"/>
              </w:rPr>
              <w:t>Consulta de clientes, servicios y router lógico/NAS mediante identificadores estables e inmutables.</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F2-04</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Consulta incremental de tickets mediante cursor/updated_since.</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F2-05</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5"/>
              </w:rPr>
              <w:t>Lectura de tickets e historial y enriquecimiento técnico controlado de tickets existentes; sin cierre automático en V1.</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F2-06</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5"/>
              </w:rPr>
              <w:t>Publicación estructurada de diagnósticos o referencia segura, después del piloto de lectura.</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F2-07</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Comentarios, intervenciones y adjuntos por API.</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F2-08</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P1</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API de incidentes masivos.</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F2-09</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P1</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5"/>
              </w:rPr>
              <w:t>Webhooks firmados o alternativa incremental confiable; nombres de eventos documentados por el proveedor.</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F2-10</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5"/>
              </w:rPr>
              <w:t>Idempotency-Key o mecanismo equivalente y external_reference único para operaciones autorizadas.</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F2-11</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Control de concurrencia mediante version/ETag.</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F2-12</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Errores estructurados, rate limits y política de reintentos.</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F2-13</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Auditoría de operaciones API.</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F2-14</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P1</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r>
              <w:rPr>
                <w:rFonts w:ascii="Arial" w:hAnsi="Arial" w:eastAsia="Arial"/>
                <w:sz w:val="15"/>
              </w:rPr>
              <w:t>Botón/enlace “Abrir diagnóstico Colombia Net” con referencia no sensible; P1.</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F2-15</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Sin entrega de contraseñas o secretos técnicos.</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F2-16</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Credenciales separadas para sandbox y producción.</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b w:val="0"/>
                <w:i w:val="0"/>
                <w:color w:val="3D4A52"/>
                <w:sz w:val="15"/>
              </w:rPr>
              <w:t>☐ Actual  ☐ Config.  ☐ Desarrollo  ☐ No soportado</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F2-17</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Diccionario de campos personalizados, enums, obligatoriedad y códigos técnicos estables expuesto en API/OpenAPI.</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 Actual  ☐ Config.  ☐ Desarrollo  ☐ No soportado  ☐ Definición conjunta</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F2-18</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Los campos creados en la reestructuración no quedan únicamente en UI; su disponibilidad API debe declararse.</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 Actual  ☐ Config.  ☐ Desarrollo  ☐ No soportado  ☐ Definición conjunta</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F2-19</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P0</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Versión, fecha de vigencia y política de cambios/deprecación del contrato API.</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 Actual  ☐ Config.  ☐ Desarrollo  ☐ No soportado  ☐ Definición conjunta</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p>
        </w:tc>
      </w:tr>
      <w:tr>
        <w:trPr>
          <w:cantSplit/>
        </w:trPr>
        <w:tc>
          <w:tcPr>
            <w:tcW w:type="dxa" w:w="7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F2-20</w:t>
            </w:r>
          </w:p>
        </w:tc>
        <w:tc>
          <w:tcPr>
            <w:tcW w:type="dxa" w:w="936"/>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P0</w:t>
            </w:r>
          </w:p>
        </w:tc>
        <w:tc>
          <w:tcPr>
            <w:tcW w:type="dxa" w:w="4392"/>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Credencial de sandbox con permisos de solo lectura para el piloto inicial, separada de cualquier permiso de escritura.</w:t>
            </w:r>
          </w:p>
        </w:tc>
        <w:tc>
          <w:tcPr>
            <w:tcW w:type="dxa" w:w="1944"/>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 Actual  ☐ Config.  ☐ Desarrollo  ☐ No soportado  ☐ Definición conjunta</w:t>
            </w:r>
          </w:p>
        </w:tc>
        <w:tc>
          <w:tcPr>
            <w:tcW w:type="dxa" w:w="1655"/>
            <w:shd w:fill="F2F4F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p>
        </w:tc>
      </w:tr>
      <w:tr>
        <w:trPr>
          <w:cantSplit/>
        </w:trPr>
        <w:tc>
          <w:tcPr>
            <w:tcW w:type="dxa" w:w="7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F2-21</w:t>
            </w:r>
          </w:p>
        </w:tc>
        <w:tc>
          <w:tcPr>
            <w:tcW w:type="dxa" w:w="936"/>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P1</w:t>
            </w:r>
          </w:p>
        </w:tc>
        <w:tc>
          <w:tcPr>
            <w:tcW w:type="dxa" w:w="4392"/>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Operaciones de creación, transición, reapertura o cierre por API evaluadas por separado y deshabilitadas por defecto.</w:t>
            </w:r>
          </w:p>
        </w:tc>
        <w:tc>
          <w:tcPr>
            <w:tcW w:type="dxa" w:w="1944"/>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rPr>
                <w:rFonts w:ascii="Arial" w:hAnsi="Arial" w:eastAsia="Arial"/>
                <w:sz w:val="15"/>
              </w:rPr>
              <w:t>☐ Actual  ☐ Config.  ☐ Desarrollo  ☐ No soportado  ☐ Definición conjunta</w:t>
            </w:r>
          </w:p>
        </w:tc>
        <w:tc>
          <w:tcPr>
            <w:tcW w:type="dxa" w:w="1655"/>
            <w:vAlign w:val="top"/>
            <w:tcMar>
              <w:top w:w="75" w:type="dxa"/>
              <w:start w:w="90" w:type="dxa"/>
              <w:bottom w:w="75" w:type="dxa"/>
              <w:end w:w="90" w:type="dxa"/>
            </w:tcMar>
            <w:tcBorders>
              <w:top w:val="single" w:sz="4" w:color="B7C4CC"/>
              <w:left w:val="single" w:sz="4" w:color="B7C4CC"/>
              <w:bottom w:val="single" w:sz="4" w:color="B7C4CC"/>
              <w:right w:val="single" w:sz="4" w:color="B7C4CC"/>
            </w:tcBorders>
          </w:tcPr>
          <w:p>
            <w:pPr>
              <w:spacing w:after="0" w:line="240" w:lineRule="auto"/>
            </w:pPr>
            <w:r/>
          </w:p>
        </w:tc>
      </w:tr>
    </w:tbl>
    <w:p>
      <w:pPr>
        <w:spacing w:after="20"/>
      </w:pPr>
    </w:p>
    <w:p>
      <w:r/>
    </w:p>
    <w:tbl>
      <w:tblPr>
        <w:tblW w:type="auto" w:w="0"/>
        <w:jc w:val="center"/>
        <w:tblLayout w:type="fixed"/>
        <w:tblLook w:firstColumn="1" w:firstRow="1" w:lastColumn="0" w:lastRow="0" w:noHBand="0" w:noVBand="1" w:val="04A0"/>
      </w:tblPr>
      <w:tblGrid>
        <w:gridCol w:w="10166"/>
      </w:tblGrid>
      <w:tr>
        <w:tc>
          <w:tcPr>
            <w:tcW w:type="dxa" w:w="9720"/>
            <w:shd w:fill="123B5D"/>
            <w:tcMar>
              <w:top w:w="100" w:type="dxa"/>
              <w:start w:w="130" w:type="dxa"/>
              <w:bottom w:w="100" w:type="dxa"/>
              <w:end w:w="130" w:type="dxa"/>
            </w:tcMar>
          </w:tcPr>
          <w:p>
            <w:r>
              <w:t>ANEXO C · EJEMPLOS CANÓNICOS CNO — NO CONTRACTUALES</w:t>
            </w:r>
          </w:p>
        </w:tc>
      </w:tr>
    </w:tbl>
    <w:p>
      <w:pPr>
        <w:spacing w:after="20"/>
      </w:pPr>
    </w:p>
    <w:p>
      <w:pPr>
        <w:pStyle w:val="Heading1"/>
        <w:keepNext/>
        <w:spacing w:before="200" w:after="100"/>
      </w:pPr>
      <w:r>
        <w:rPr>
          <w:rFonts w:ascii="Arial" w:hAnsi="Arial" w:eastAsia="Arial"/>
          <w:b/>
          <w:color w:val="123B5D"/>
          <w:sz w:val="30"/>
        </w:rPr>
        <w:t>C.1. Evento de ticket creado</w:t>
      </w:r>
    </w:p>
    <w:tbl>
      <w:tblPr>
        <w:tblW w:type="auto" w:w="0"/>
        <w:jc w:val="center"/>
        <w:tblLayout w:type="fixed"/>
        <w:tblLook w:firstColumn="1" w:firstRow="1" w:lastColumn="0" w:lastRow="0" w:noHBand="0" w:noVBand="1" w:val="04A0"/>
      </w:tblPr>
      <w:tblGrid>
        <w:gridCol w:w="10166"/>
      </w:tblGrid>
      <w:tr>
        <w:tc>
          <w:tcPr>
            <w:tcW w:type="dxa" w:w="9720"/>
            <w:shd w:fill="F7F8F9"/>
            <w:tcMar>
              <w:top w:w="100" w:type="dxa"/>
              <w:start w:w="140" w:type="dxa"/>
              <w:bottom w:w="100" w:type="dxa"/>
              <w:end w:w="140" w:type="dxa"/>
            </w:tcMar>
            <w:tcBorders>
              <w:top w:val="single" w:sz="4" w:color="C7D0D6"/>
              <w:left w:val="single" w:sz="4" w:color="C7D0D6"/>
              <w:bottom w:val="single" w:sz="4" w:color="C7D0D6"/>
              <w:right w:val="single" w:sz="4" w:color="C7D0D6"/>
            </w:tcBorders>
          </w:tcPr>
          <w:p>
            <w:pPr>
              <w:spacing w:after="0" w:line="240" w:lineRule="auto"/>
            </w:pPr>
            <w:r>
              <w:rPr>
                <w:rFonts w:ascii="Consolas" w:hAnsi="Consolas" w:eastAsia="Consolas"/>
                <w:b w:val="0"/>
                <w:i w:val="0"/>
                <w:color w:val="263238"/>
                <w:sz w:val="17"/>
              </w:rPr>
              <w:t>{</w:t>
            </w:r>
            <w:r>
              <w:rPr>
                <w:rFonts w:ascii="Arial" w:hAnsi="Arial" w:eastAsia="Arial"/>
              </w:rPr>
              <w:br/>
            </w:r>
            <w:r>
              <w:rPr>
                <w:rFonts w:ascii="Consolas" w:hAnsi="Consolas" w:eastAsia="Consolas"/>
                <w:b w:val="0"/>
                <w:i w:val="0"/>
                <w:color w:val="263238"/>
                <w:sz w:val="17"/>
              </w:rPr>
              <w:t xml:space="preserve">  "schema_version": "1.0",</w:t>
            </w:r>
            <w:r>
              <w:rPr>
                <w:rFonts w:ascii="Arial" w:hAnsi="Arial" w:eastAsia="Arial"/>
              </w:rPr>
              <w:br/>
            </w:r>
            <w:r>
              <w:rPr>
                <w:rFonts w:ascii="Consolas" w:hAnsi="Consolas" w:eastAsia="Consolas"/>
                <w:b w:val="0"/>
                <w:i w:val="0"/>
                <w:color w:val="263238"/>
                <w:sz w:val="17"/>
              </w:rPr>
              <w:t xml:space="preserve">  "event_id": "evt_123456",</w:t>
            </w:r>
            <w:r>
              <w:rPr>
                <w:rFonts w:ascii="Arial" w:hAnsi="Arial" w:eastAsia="Arial"/>
              </w:rPr>
              <w:br/>
            </w:r>
            <w:r>
              <w:rPr>
                <w:rFonts w:ascii="Consolas" w:hAnsi="Consolas" w:eastAsia="Consolas"/>
                <w:b w:val="0"/>
                <w:i w:val="0"/>
                <w:color w:val="263238"/>
                <w:sz w:val="17"/>
              </w:rPr>
              <w:t xml:space="preserve">  "event_type": "support.ticket.created",</w:t>
            </w:r>
            <w:r>
              <w:rPr>
                <w:rFonts w:ascii="Arial" w:hAnsi="Arial" w:eastAsia="Arial"/>
              </w:rPr>
              <w:br/>
            </w:r>
            <w:r>
              <w:rPr>
                <w:rFonts w:ascii="Consolas" w:hAnsi="Consolas" w:eastAsia="Consolas"/>
                <w:b w:val="0"/>
                <w:i w:val="0"/>
                <w:color w:val="263238"/>
                <w:sz w:val="17"/>
              </w:rPr>
              <w:t xml:space="preserve">  "occurred_at": "2026-08-09T23:42:13Z",</w:t>
            </w:r>
            <w:r>
              <w:rPr>
                <w:rFonts w:ascii="Arial" w:hAnsi="Arial" w:eastAsia="Arial"/>
              </w:rPr>
              <w:br/>
            </w:r>
            <w:r>
              <w:rPr>
                <w:rFonts w:ascii="Consolas" w:hAnsi="Consolas" w:eastAsia="Consolas"/>
                <w:b w:val="0"/>
                <w:i w:val="0"/>
                <w:color w:val="263238"/>
                <w:sz w:val="17"/>
              </w:rPr>
              <w:t xml:space="preserve">  "tenant_id": "colombia-net-occidente",</w:t>
            </w:r>
            <w:r>
              <w:rPr>
                <w:rFonts w:ascii="Arial" w:hAnsi="Arial" w:eastAsia="Arial"/>
              </w:rPr>
              <w:br/>
            </w:r>
            <w:r>
              <w:rPr>
                <w:rFonts w:ascii="Consolas" w:hAnsi="Consolas" w:eastAsia="Consolas"/>
                <w:b w:val="0"/>
                <w:i w:val="0"/>
                <w:color w:val="263238"/>
                <w:sz w:val="17"/>
              </w:rPr>
              <w:t xml:space="preserve">  "resource_id": "486",</w:t>
            </w:r>
            <w:r>
              <w:rPr>
                <w:rFonts w:ascii="Arial" w:hAnsi="Arial" w:eastAsia="Arial"/>
              </w:rPr>
              <w:br/>
            </w:r>
            <w:r>
              <w:rPr>
                <w:rFonts w:ascii="Consolas" w:hAnsi="Consolas" w:eastAsia="Consolas"/>
                <w:b w:val="0"/>
                <w:i w:val="0"/>
                <w:color w:val="263238"/>
                <w:sz w:val="17"/>
              </w:rPr>
              <w:t xml:space="preserve">  "resource_version": 1,</w:t>
            </w:r>
            <w:r>
              <w:rPr>
                <w:rFonts w:ascii="Arial" w:hAnsi="Arial" w:eastAsia="Arial"/>
              </w:rPr>
              <w:br/>
            </w:r>
            <w:r>
              <w:rPr>
                <w:rFonts w:ascii="Consolas" w:hAnsi="Consolas" w:eastAsia="Consolas"/>
                <w:b w:val="0"/>
                <w:i w:val="0"/>
                <w:color w:val="263238"/>
                <w:sz w:val="17"/>
              </w:rPr>
              <w:t xml:space="preserve">  "correlation_id": "c48b82dc-aed9-48fc-b232-d1ff06f62065",</w:t>
            </w:r>
            <w:r>
              <w:rPr>
                <w:rFonts w:ascii="Arial" w:hAnsi="Arial" w:eastAsia="Arial"/>
              </w:rPr>
              <w:br/>
            </w:r>
            <w:r>
              <w:rPr>
                <w:rFonts w:ascii="Consolas" w:hAnsi="Consolas" w:eastAsia="Consolas"/>
                <w:b w:val="0"/>
                <w:i w:val="0"/>
                <w:color w:val="263238"/>
                <w:sz w:val="17"/>
              </w:rPr>
              <w:t xml:space="preserve">  "data": {</w:t>
            </w:r>
            <w:r>
              <w:rPr>
                <w:rFonts w:ascii="Arial" w:hAnsi="Arial" w:eastAsia="Arial"/>
              </w:rPr>
              <w:br/>
            </w:r>
            <w:r>
              <w:rPr>
                <w:rFonts w:ascii="Consolas" w:hAnsi="Consolas" w:eastAsia="Consolas"/>
                <w:b w:val="0"/>
                <w:i w:val="0"/>
                <w:color w:val="263238"/>
                <w:sz w:val="17"/>
              </w:rPr>
              <w:t xml:space="preserve">    "ticket_number": "SUP-26-00486",</w:t>
            </w:r>
            <w:r>
              <w:rPr>
                <w:rFonts w:ascii="Arial" w:hAnsi="Arial" w:eastAsia="Arial"/>
              </w:rPr>
              <w:br/>
            </w:r>
            <w:r>
              <w:rPr>
                <w:rFonts w:ascii="Consolas" w:hAnsi="Consolas" w:eastAsia="Consolas"/>
                <w:b w:val="0"/>
                <w:i w:val="0"/>
                <w:color w:val="263238"/>
                <w:sz w:val="17"/>
              </w:rPr>
              <w:t xml:space="preserve">    "customer_id": "2845",</w:t>
            </w:r>
            <w:r>
              <w:rPr>
                <w:rFonts w:ascii="Arial" w:hAnsi="Arial" w:eastAsia="Arial"/>
              </w:rPr>
              <w:br/>
            </w:r>
            <w:r>
              <w:rPr>
                <w:rFonts w:ascii="Consolas" w:hAnsi="Consolas" w:eastAsia="Consolas"/>
                <w:b w:val="0"/>
                <w:i w:val="0"/>
                <w:color w:val="263238"/>
                <w:sz w:val="17"/>
              </w:rPr>
              <w:t xml:space="preserve">    "service_id": "3012",</w:t>
            </w:r>
            <w:r>
              <w:rPr>
                <w:rFonts w:ascii="Arial" w:hAnsi="Arial" w:eastAsia="Arial"/>
              </w:rPr>
              <w:br/>
            </w:r>
            <w:r>
              <w:rPr>
                <w:rFonts w:ascii="Consolas" w:hAnsi="Consolas" w:eastAsia="Consolas"/>
                <w:b w:val="0"/>
                <w:i w:val="0"/>
                <w:color w:val="263238"/>
                <w:sz w:val="17"/>
              </w:rPr>
              <w:t xml:space="preserve">    "status": "RADICADO",</w:t>
            </w:r>
            <w:r>
              <w:rPr>
                <w:rFonts w:ascii="Arial" w:hAnsi="Arial" w:eastAsia="Arial"/>
              </w:rPr>
              <w:br/>
            </w:r>
            <w:r>
              <w:rPr>
                <w:rFonts w:ascii="Consolas" w:hAnsi="Consolas" w:eastAsia="Consolas"/>
                <w:b w:val="0"/>
                <w:i w:val="0"/>
                <w:color w:val="263238"/>
                <w:sz w:val="17"/>
              </w:rPr>
              <w:t xml:space="preserve">    "symptom_code": "S02",</w:t>
            </w:r>
            <w:r>
              <w:rPr>
                <w:rFonts w:ascii="Arial" w:hAnsi="Arial" w:eastAsia="Arial"/>
              </w:rPr>
              <w:br/>
            </w:r>
            <w:r>
              <w:rPr>
                <w:rFonts w:ascii="Consolas" w:hAnsi="Consolas" w:eastAsia="Consolas"/>
                <w:b w:val="0"/>
                <w:i w:val="0"/>
                <w:color w:val="263238"/>
                <w:sz w:val="17"/>
              </w:rPr>
              <w:t xml:space="preserve">    "reported_at": "2026-08-09T18:42:13-05:00"</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w:t>
            </w:r>
          </w:p>
        </w:tc>
      </w:tr>
    </w:tbl>
    <w:p>
      <w:pPr>
        <w:spacing w:after="0"/>
      </w:pPr>
    </w:p>
    <w:p>
      <w:pPr>
        <w:pStyle w:val="Heading1"/>
        <w:keepNext/>
        <w:spacing w:before="200" w:after="100"/>
      </w:pPr>
      <w:r>
        <w:rPr>
          <w:rFonts w:ascii="Arial" w:hAnsi="Arial" w:eastAsia="Arial"/>
          <w:b/>
          <w:color w:val="123B5D"/>
          <w:sz w:val="30"/>
        </w:rPr>
        <w:t>C.2. Diagnóstico publicado por ColombiaNetDiagnostico</w:t>
      </w:r>
    </w:p>
    <w:tbl>
      <w:tblPr>
        <w:tblW w:type="auto" w:w="0"/>
        <w:jc w:val="center"/>
        <w:tblLayout w:type="fixed"/>
        <w:tblLook w:firstColumn="1" w:firstRow="1" w:lastColumn="0" w:lastRow="0" w:noHBand="0" w:noVBand="1" w:val="04A0"/>
      </w:tblPr>
      <w:tblGrid>
        <w:gridCol w:w="10166"/>
      </w:tblGrid>
      <w:tr>
        <w:tc>
          <w:tcPr>
            <w:tcW w:type="dxa" w:w="9720"/>
            <w:shd w:fill="F7F8F9"/>
            <w:tcMar>
              <w:top w:w="100" w:type="dxa"/>
              <w:start w:w="140" w:type="dxa"/>
              <w:bottom w:w="100" w:type="dxa"/>
              <w:end w:w="140" w:type="dxa"/>
            </w:tcMar>
            <w:tcBorders>
              <w:top w:val="single" w:sz="4" w:color="C7D0D6"/>
              <w:left w:val="single" w:sz="4" w:color="C7D0D6"/>
              <w:bottom w:val="single" w:sz="4" w:color="C7D0D6"/>
              <w:right w:val="single" w:sz="4" w:color="C7D0D6"/>
            </w:tcBorders>
          </w:tcPr>
          <w:p>
            <w:pPr>
              <w:spacing w:after="0" w:line="240" w:lineRule="auto"/>
            </w:pPr>
            <w:r>
              <w:rPr>
                <w:rFonts w:ascii="Consolas" w:hAnsi="Consolas" w:eastAsia="Consolas"/>
                <w:b w:val="0"/>
                <w:i w:val="0"/>
                <w:color w:val="263238"/>
                <w:sz w:val="17"/>
              </w:rPr>
              <w:t>{</w:t>
            </w:r>
            <w:r>
              <w:rPr>
                <w:rFonts w:ascii="Arial" w:hAnsi="Arial" w:eastAsia="Arial"/>
              </w:rPr>
              <w:br/>
            </w:r>
            <w:r>
              <w:rPr>
                <w:rFonts w:ascii="Consolas" w:hAnsi="Consolas" w:eastAsia="Consolas"/>
                <w:b w:val="0"/>
                <w:i w:val="0"/>
                <w:color w:val="263238"/>
                <w:sz w:val="17"/>
              </w:rPr>
              <w:t xml:space="preserve">  "external_diagnostic_id": "CN-DIAG-20260809-000481",</w:t>
            </w:r>
            <w:r>
              <w:rPr>
                <w:rFonts w:ascii="Arial" w:hAnsi="Arial" w:eastAsia="Arial"/>
              </w:rPr>
              <w:br/>
            </w:r>
            <w:r>
              <w:rPr>
                <w:rFonts w:ascii="Consolas" w:hAnsi="Consolas" w:eastAsia="Consolas"/>
                <w:b w:val="0"/>
                <w:i w:val="0"/>
                <w:color w:val="263238"/>
                <w:sz w:val="17"/>
              </w:rPr>
              <w:t xml:space="preserve">  "phase": "INITIAL",</w:t>
            </w:r>
            <w:r>
              <w:rPr>
                <w:rFonts w:ascii="Arial" w:hAnsi="Arial" w:eastAsia="Arial"/>
              </w:rPr>
              <w:br/>
            </w:r>
            <w:r>
              <w:rPr>
                <w:rFonts w:ascii="Consolas" w:hAnsi="Consolas" w:eastAsia="Consolas"/>
                <w:b w:val="0"/>
                <w:i w:val="0"/>
                <w:color w:val="263238"/>
                <w:sz w:val="17"/>
              </w:rPr>
              <w:t xml:space="preserve">  "status": "COMPLETED_WITH_WARNINGS",</w:t>
            </w:r>
            <w:r>
              <w:rPr>
                <w:rFonts w:ascii="Arial" w:hAnsi="Arial" w:eastAsia="Arial"/>
              </w:rPr>
              <w:br/>
            </w:r>
            <w:r>
              <w:rPr>
                <w:rFonts w:ascii="Consolas" w:hAnsi="Consolas" w:eastAsia="Consolas"/>
                <w:b w:val="0"/>
                <w:i w:val="0"/>
                <w:color w:val="263238"/>
                <w:sz w:val="17"/>
              </w:rPr>
              <w:t xml:space="preserve">  "started_at": "2026-08-09T23:43:00Z",</w:t>
            </w:r>
            <w:r>
              <w:rPr>
                <w:rFonts w:ascii="Arial" w:hAnsi="Arial" w:eastAsia="Arial"/>
              </w:rPr>
              <w:br/>
            </w:r>
            <w:r>
              <w:rPr>
                <w:rFonts w:ascii="Consolas" w:hAnsi="Consolas" w:eastAsia="Consolas"/>
                <w:b w:val="0"/>
                <w:i w:val="0"/>
                <w:color w:val="263238"/>
                <w:sz w:val="17"/>
              </w:rPr>
              <w:t xml:space="preserve">  "completed_at": "2026-08-09T23:43:28Z",</w:t>
            </w:r>
            <w:r>
              <w:rPr>
                <w:rFonts w:ascii="Arial" w:hAnsi="Arial" w:eastAsia="Arial"/>
              </w:rPr>
              <w:br/>
            </w:r>
            <w:r>
              <w:rPr>
                <w:rFonts w:ascii="Consolas" w:hAnsi="Consolas" w:eastAsia="Consolas"/>
                <w:b w:val="0"/>
                <w:i w:val="0"/>
                <w:color w:val="263238"/>
                <w:sz w:val="17"/>
              </w:rPr>
              <w:t xml:space="preserve">  "infrastructure": {</w:t>
            </w:r>
            <w:r>
              <w:rPr>
                <w:rFonts w:ascii="Arial" w:hAnsi="Arial" w:eastAsia="Arial"/>
              </w:rPr>
              <w:br/>
            </w:r>
            <w:r>
              <w:rPr>
                <w:rFonts w:ascii="Consolas" w:hAnsi="Consolas" w:eastAsia="Consolas"/>
                <w:b w:val="0"/>
                <w:i w:val="0"/>
                <w:color w:val="263238"/>
                <w:sz w:val="17"/>
              </w:rPr>
              <w:t xml:space="preserve">    "zone_code": "ST",</w:t>
            </w:r>
            <w:r>
              <w:rPr>
                <w:rFonts w:ascii="Arial" w:hAnsi="Arial" w:eastAsia="Arial"/>
              </w:rPr>
              <w:br/>
            </w:r>
            <w:r>
              <w:rPr>
                <w:rFonts w:ascii="Consolas" w:hAnsi="Consolas" w:eastAsia="Consolas"/>
                <w:b w:val="0"/>
                <w:i w:val="0"/>
                <w:color w:val="263238"/>
                <w:sz w:val="17"/>
              </w:rPr>
              <w:t xml:space="preserve">    "node_code": "RB-ST",</w:t>
            </w:r>
            <w:r>
              <w:rPr>
                <w:rFonts w:ascii="Arial" w:hAnsi="Arial" w:eastAsia="Arial"/>
              </w:rPr>
              <w:br/>
            </w:r>
            <w:r>
              <w:rPr>
                <w:rFonts w:ascii="Consolas" w:hAnsi="Consolas" w:eastAsia="Consolas"/>
                <w:b w:val="0"/>
                <w:i w:val="0"/>
                <w:color w:val="263238"/>
                <w:sz w:val="17"/>
              </w:rPr>
              <w:t xml:space="preserve">    "access_type": "WIRELESS",</w:t>
            </w:r>
            <w:r>
              <w:rPr>
                <w:rFonts w:ascii="Arial" w:hAnsi="Arial" w:eastAsia="Arial"/>
              </w:rPr>
              <w:br/>
            </w:r>
            <w:r>
              <w:rPr>
                <w:rFonts w:ascii="Consolas" w:hAnsi="Consolas" w:eastAsia="Consolas"/>
                <w:b w:val="0"/>
                <w:i w:val="0"/>
                <w:color w:val="263238"/>
                <w:sz w:val="17"/>
              </w:rPr>
              <w:t xml:space="preserve">    "access_element_code": "AP-NC4"</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 xml:space="preserve">  "summary": {</w:t>
            </w:r>
            <w:r>
              <w:rPr>
                <w:rFonts w:ascii="Arial" w:hAnsi="Arial" w:eastAsia="Arial"/>
              </w:rPr>
              <w:br/>
            </w:r>
            <w:r>
              <w:rPr>
                <w:rFonts w:ascii="Consolas" w:hAnsi="Consolas" w:eastAsia="Consolas"/>
                <w:b w:val="0"/>
                <w:i w:val="0"/>
                <w:color w:val="263238"/>
                <w:sz w:val="17"/>
              </w:rPr>
              <w:t xml:space="preserve">    "pppoe_connected": true,</w:t>
            </w:r>
            <w:r>
              <w:rPr>
                <w:rFonts w:ascii="Arial" w:hAnsi="Arial" w:eastAsia="Arial"/>
              </w:rPr>
              <w:br/>
            </w:r>
            <w:r>
              <w:rPr>
                <w:rFonts w:ascii="Consolas" w:hAnsi="Consolas" w:eastAsia="Consolas"/>
                <w:b w:val="0"/>
                <w:i w:val="0"/>
                <w:color w:val="263238"/>
                <w:sz w:val="17"/>
              </w:rPr>
              <w:t xml:space="preserve">    "latency_ms": 104,</w:t>
            </w:r>
            <w:r>
              <w:rPr>
                <w:rFonts w:ascii="Arial" w:hAnsi="Arial" w:eastAsia="Arial"/>
              </w:rPr>
              <w:br/>
            </w:r>
            <w:r>
              <w:rPr>
                <w:rFonts w:ascii="Consolas" w:hAnsi="Consolas" w:eastAsia="Consolas"/>
                <w:b w:val="0"/>
                <w:i w:val="0"/>
                <w:color w:val="263238"/>
                <w:sz w:val="17"/>
              </w:rPr>
              <w:t xml:space="preserve">    "packet_loss_percent": 16,</w:t>
            </w:r>
            <w:r>
              <w:rPr>
                <w:rFonts w:ascii="Arial" w:hAnsi="Arial" w:eastAsia="Arial"/>
              </w:rPr>
              <w:br/>
            </w:r>
            <w:r>
              <w:rPr>
                <w:rFonts w:ascii="Consolas" w:hAnsi="Consolas" w:eastAsia="Consolas"/>
                <w:b w:val="0"/>
                <w:i w:val="0"/>
                <w:color w:val="263238"/>
                <w:sz w:val="17"/>
              </w:rPr>
              <w:t xml:space="preserve">    "rssi_dbm": -76,</w:t>
            </w:r>
            <w:r>
              <w:rPr>
                <w:rFonts w:ascii="Arial" w:hAnsi="Arial" w:eastAsia="Arial"/>
              </w:rPr>
              <w:br/>
            </w:r>
            <w:r>
              <w:rPr>
                <w:rFonts w:ascii="Consolas" w:hAnsi="Consolas" w:eastAsia="Consolas"/>
                <w:b w:val="0"/>
                <w:i w:val="0"/>
                <w:color w:val="263238"/>
                <w:sz w:val="17"/>
              </w:rPr>
              <w:t xml:space="preserve">    "ccq_percent": 54</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 xml:space="preserve">  "suspected_cause": {</w:t>
            </w:r>
            <w:r>
              <w:rPr>
                <w:rFonts w:ascii="Arial" w:hAnsi="Arial" w:eastAsia="Arial"/>
              </w:rPr>
              <w:br/>
            </w:r>
            <w:r>
              <w:rPr>
                <w:rFonts w:ascii="Consolas" w:hAnsi="Consolas" w:eastAsia="Consolas"/>
                <w:b w:val="0"/>
                <w:i w:val="0"/>
                <w:color w:val="263238"/>
                <w:sz w:val="17"/>
              </w:rPr>
              <w:t xml:space="preserve">    "code": "RF02",</w:t>
            </w:r>
            <w:r>
              <w:rPr>
                <w:rFonts w:ascii="Arial" w:hAnsi="Arial" w:eastAsia="Arial"/>
              </w:rPr>
              <w:br/>
            </w:r>
            <w:r>
              <w:rPr>
                <w:rFonts w:ascii="Consolas" w:hAnsi="Consolas" w:eastAsia="Consolas"/>
                <w:b w:val="0"/>
                <w:i w:val="0"/>
                <w:color w:val="263238"/>
                <w:sz w:val="17"/>
              </w:rPr>
              <w:t xml:space="preserve">    "label": "Interferencia o ruido",</w:t>
            </w:r>
            <w:r>
              <w:rPr>
                <w:rFonts w:ascii="Arial" w:hAnsi="Arial" w:eastAsia="Arial"/>
              </w:rPr>
              <w:br/>
            </w:r>
            <w:r>
              <w:rPr>
                <w:rFonts w:ascii="Consolas" w:hAnsi="Consolas" w:eastAsia="Consolas"/>
                <w:b w:val="0"/>
                <w:i w:val="0"/>
                <w:color w:val="263238"/>
                <w:sz w:val="17"/>
              </w:rPr>
              <w:t xml:space="preserve">    "confidence": 0.71</w:t>
            </w:r>
            <w:r>
              <w:rPr>
                <w:rFonts w:ascii="Arial" w:hAnsi="Arial" w:eastAsia="Arial"/>
              </w:rPr>
              <w:br/>
            </w:r>
            <w:r>
              <w:rPr>
                <w:rFonts w:ascii="Consolas" w:hAnsi="Consolas" w:eastAsia="Consolas"/>
                <w:b w:val="0"/>
                <w:i w:val="0"/>
                <w:color w:val="263238"/>
                <w:sz w:val="17"/>
              </w:rPr>
              <w:t xml:space="preserve">  },</w:t>
            </w:r>
            <w:r>
              <w:rPr>
                <w:rFonts w:ascii="Arial" w:hAnsi="Arial" w:eastAsia="Arial"/>
              </w:rPr>
              <w:br/>
            </w:r>
            <w:r>
              <w:rPr>
                <w:rFonts w:ascii="Consolas" w:hAnsi="Consolas" w:eastAsia="Consolas"/>
                <w:b w:val="0"/>
                <w:i w:val="0"/>
                <w:color w:val="263238"/>
                <w:sz w:val="17"/>
              </w:rPr>
              <w:t xml:space="preserve">  "platform_reference": "CN-DIAG-20260809-000481"</w:t>
            </w:r>
            <w:r>
              <w:rPr>
                <w:rFonts w:ascii="Arial" w:hAnsi="Arial" w:eastAsia="Arial"/>
              </w:rPr>
              <w:br/>
            </w:r>
            <w:r>
              <w:rPr>
                <w:rFonts w:ascii="Consolas" w:hAnsi="Consolas" w:eastAsia="Consolas"/>
                <w:b w:val="0"/>
                <w:i w:val="0"/>
                <w:color w:val="263238"/>
                <w:sz w:val="17"/>
              </w:rPr>
              <w:t>}</w:t>
            </w:r>
          </w:p>
        </w:tc>
      </w:tr>
    </w:tbl>
    <w:p>
      <w:pPr>
        <w:spacing w:after="0"/>
      </w:pPr>
    </w:p>
    <w:p>
      <w:pPr>
        <w:pStyle w:val="Heading1"/>
        <w:keepNext/>
        <w:spacing w:before="40" w:after="40"/>
      </w:pPr>
      <w:r>
        <w:rPr>
          <w:rFonts w:ascii="Arial" w:hAnsi="Arial" w:eastAsia="Arial"/>
          <w:b/>
          <w:color w:val="123B5D"/>
          <w:sz w:val="30"/>
        </w:rPr>
        <w:t>C.3. Identificadores mínimos</w:t>
      </w:r>
    </w:p>
    <w:tbl>
      <w:tblPr>
        <w:tblW w:type="auto" w:w="0"/>
        <w:jc w:val="center"/>
        <w:tblLayout w:type="fixed"/>
        <w:tblLook w:firstColumn="1" w:firstRow="1" w:lastColumn="0" w:lastRow="0" w:noHBand="0" w:noVBand="1" w:val="04A0"/>
      </w:tblPr>
      <w:tblGrid>
        <w:gridCol w:w="10166"/>
      </w:tblGrid>
      <w:tr>
        <w:tc>
          <w:tcPr>
            <w:tcW w:type="dxa" w:w="9720"/>
            <w:shd w:fill="F7F8F9"/>
            <w:tcMar>
              <w:top w:w="25" w:type="dxa"/>
              <w:start w:w="80" w:type="dxa"/>
              <w:bottom w:w="25" w:type="dxa"/>
              <w:end w:w="80" w:type="dxa"/>
            </w:tcMar>
            <w:tcBorders>
              <w:top w:val="single" w:sz="4" w:color="C7D0D6"/>
              <w:left w:val="single" w:sz="4" w:color="C7D0D6"/>
              <w:bottom w:val="single" w:sz="4" w:color="C7D0D6"/>
              <w:right w:val="single" w:sz="4" w:color="C7D0D6"/>
            </w:tcBorders>
          </w:tcPr>
          <w:p>
            <w:r>
              <w:rPr>
                <w:rFonts w:ascii="Arial" w:hAnsi="Arial" w:eastAsia="Arial"/>
                <w:sz w:val="16"/>
              </w:rPr>
              <w:t>ispwash_ticket_id</w:t>
              <w:br/>
              <w:t>ispwash_ticket_number</w:t>
              <w:br/>
              <w:t>ispwash_customer_id</w:t>
              <w:br/>
              <w:t>ispwash_service_id</w:t>
              <w:br/>
              <w:t>ispwash_logical_router_id_o_nas_id</w:t>
              <w:br/>
              <w:t>external_reference</w:t>
              <w:br/>
              <w:t>diagnostic_run_id</w:t>
              <w:br/>
              <w:t>incident_id</w:t>
              <w:br/>
              <w:t>event_id</w:t>
              <w:br/>
              <w:t>correlation_id</w:t>
              <w:br/>
              <w:t>resource_version</w:t>
              <w:br/>
              <w:t>schema_version</w:t>
              <w:br/>
              <w:t>catalog_version</w:t>
            </w:r>
          </w:p>
        </w:tc>
      </w:tr>
    </w:tbl>
    <w:p>
      <w:pPr>
        <w:spacing w:after="0"/>
      </w:pPr>
    </w:p>
    <w:p>
      <w:pPr>
        <w:pStyle w:val="Heading1"/>
        <w:keepNext/>
        <w:spacing w:before="100" w:after="40"/>
      </w:pPr>
      <w:r>
        <w:rPr>
          <w:rFonts w:ascii="Arial" w:hAnsi="Arial" w:eastAsia="Arial"/>
          <w:b/>
          <w:color w:val="123B5D"/>
          <w:sz w:val="30"/>
        </w:rPr>
        <w:t>C.4. Nota de seguridad</w:t>
      </w:r>
    </w:p>
    <w:p>
      <w:pPr>
        <w:keepNext w:val="0"/>
        <w:spacing w:after="60" w:line="216" w:lineRule="exact" w:before="0"/>
      </w:pPr>
      <w:r>
        <w:t>Los ejemplos son canónicos e ilustrativos para CNO; no representan endpoints, nombres de campos ni eventos reales de ISPwash. El contrato definitivo se construirá únicamente con la especificación oficial del proveedor. No deberá incluir contraseñas PPPoE, secretos RADIUS, credenciales de routers/OLT ni tokens internos. Los resultados sensibles podrán permanecer en CNO y exponerse mediante resumen o referencia segura.</w:t>
      </w:r>
    </w:p>
    <w:p>
      <w:r/>
    </w:p>
    <w:tbl>
      <w:tblPr>
        <w:tblW w:type="auto" w:w="0"/>
        <w:jc w:val="center"/>
        <w:tblLayout w:type="fixed"/>
        <w:tblLook w:firstColumn="1" w:firstRow="1" w:lastColumn="0" w:lastRow="0" w:noHBand="0" w:noVBand="1" w:val="04A0"/>
      </w:tblPr>
      <w:tblGrid>
        <w:gridCol w:w="10166"/>
      </w:tblGrid>
      <w:tr>
        <w:tc>
          <w:tcPr>
            <w:tcW w:type="dxa" w:w="9720"/>
            <w:shd w:fill="123B5D"/>
            <w:tcMar>
              <w:top w:w="35" w:type="dxa"/>
              <w:start w:w="60" w:type="dxa"/>
              <w:bottom w:w="35" w:type="dxa"/>
              <w:end w:w="60" w:type="dxa"/>
            </w:tcMar>
          </w:tcPr>
          <w:p>
            <w:pPr>
              <w:spacing w:before="0" w:after="0" w:line="240" w:lineRule="auto"/>
              <w:jc w:val="center"/>
            </w:pPr>
            <w:r>
              <w:rPr>
                <w:rFonts w:ascii="Arial" w:hAnsi="Arial" w:eastAsia="Arial"/>
                <w:b/>
                <w:i w:val="0"/>
                <w:color w:val="FFFFFF"/>
                <w:sz w:val="20"/>
              </w:rPr>
              <w:t>CIERRE DE LA SOLICITUD</w:t>
            </w:r>
          </w:p>
        </w:tc>
      </w:tr>
    </w:tbl>
    <w:p>
      <w:pPr>
        <w:spacing w:after="20"/>
      </w:pPr>
    </w:p>
    <w:p>
      <w:pPr>
        <w:pStyle w:val="Heading1"/>
        <w:keepNext/>
        <w:spacing w:before="100" w:after="40"/>
      </w:pPr>
      <w:r>
        <w:rPr>
          <w:rFonts w:ascii="Arial" w:hAnsi="Arial" w:eastAsia="Arial"/>
          <w:b/>
          <w:color w:val="123B5D"/>
          <w:sz w:val="30"/>
        </w:rPr>
        <w:t>41. Decisión solicitada a ISPwash</w:t>
      </w:r>
    </w:p>
    <w:tbl>
      <w:tblPr>
        <w:tblW w:type="auto" w:w="0"/>
        <w:jc w:val="center"/>
        <w:tblLayout w:type="fixed"/>
        <w:tblLook w:firstColumn="1" w:firstRow="1" w:lastColumn="0" w:lastRow="0" w:noHBand="0" w:noVBand="1" w:val="04A0"/>
      </w:tblPr>
      <w:tblGrid>
        <w:gridCol w:w="10166"/>
      </w:tblGrid>
      <w:tr>
        <w:tc>
          <w:tcPr>
            <w:tcW w:type="dxa" w:w="9720"/>
            <w:shd w:fill="E8F3F3"/>
            <w:tcMar>
              <w:top w:w="45" w:type="dxa"/>
              <w:start w:w="80" w:type="dxa"/>
              <w:bottom w:w="45" w:type="dxa"/>
              <w:end w:w="80" w:type="dxa"/>
            </w:tcMar>
            <w:tcBorders>
              <w:top w:val="single" w:sz="8" w:color="1F6F78"/>
              <w:left w:val="single" w:sz="12" w:color="1F6F78"/>
              <w:bottom w:val="single" w:sz="4" w:color="C6D5DC"/>
              <w:right w:val="single" w:sz="4" w:color="C6D5DC"/>
            </w:tcBorders>
          </w:tcPr>
          <w:p>
            <w:r>
              <w:rPr>
                <w:rFonts w:ascii="Arial" w:hAnsi="Arial" w:eastAsia="Arial"/>
                <w:b/>
                <w:sz w:val="18"/>
              </w:rPr>
              <w:t>RESPUESTA ESPERADA</w:t>
            </w:r>
            <w:r>
              <w:rPr>
                <w:rFonts w:ascii="Arial" w:hAnsi="Arial" w:eastAsia="Arial"/>
                <w:b w:val="0"/>
                <w:sz w:val="17"/>
              </w:rPr>
              <w:br/>
              <w:t>Confirmar la viabilidad de la Solicitud 1 y de las subfases 2A/2B, responder la matriz, entregar el contrato OpenAPI oficial sanitizado, proponer alternativas para las brechas, cotizar por separado la reestructuración y la integración operativa, y asignar responsables funcionales y técnicos.</w:t>
            </w:r>
          </w:p>
        </w:tc>
      </w:tr>
    </w:tbl>
    <w:p>
      <w:pPr>
        <w:spacing w:after="20"/>
      </w:pPr>
    </w:p>
    <w:p>
      <w:pPr>
        <w:pStyle w:val="Heading1"/>
        <w:keepNext/>
        <w:spacing w:before="100" w:after="40"/>
      </w:pPr>
      <w:r>
        <w:rPr>
          <w:rFonts w:ascii="Arial" w:hAnsi="Arial" w:eastAsia="Arial"/>
          <w:b/>
          <w:color w:val="123B5D"/>
          <w:sz w:val="30"/>
        </w:rPr>
        <w:t>42. Resultado final esperado</w:t>
      </w:r>
    </w:p>
    <w:tbl>
      <w:tblPr>
        <w:tblW w:type="auto" w:w="0"/>
        <w:jc w:val="center"/>
        <w:tblLayout w:type="fixed"/>
        <w:tblLook w:firstColumn="1" w:firstRow="1" w:lastColumn="0" w:lastRow="0" w:noHBand="0" w:noVBand="1" w:val="04A0"/>
      </w:tblPr>
      <w:tblGrid>
        <w:gridCol w:w="10166"/>
      </w:tblGrid>
      <w:tr>
        <w:tc>
          <w:tcPr>
            <w:tcW w:type="dxa" w:w="9720"/>
            <w:shd w:fill="F7F8F9"/>
            <w:tcMar>
              <w:top w:w="45" w:type="dxa"/>
              <w:start w:w="80" w:type="dxa"/>
              <w:bottom w:w="45" w:type="dxa"/>
              <w:end w:w="80" w:type="dxa"/>
            </w:tcMar>
            <w:tcBorders>
              <w:top w:val="single" w:sz="4" w:color="C7D0D6"/>
              <w:left w:val="single" w:sz="4" w:color="C7D0D6"/>
              <w:bottom w:val="single" w:sz="4" w:color="C7D0D6"/>
              <w:right w:val="single" w:sz="4" w:color="C7D0D6"/>
            </w:tcBorders>
          </w:tcPr>
          <w:p>
            <w:pPr>
              <w:spacing w:after="0" w:line="192" w:lineRule="exact" w:before="0"/>
            </w:pPr>
            <w:r>
              <w:rPr>
                <w:rFonts w:ascii="Arial" w:hAnsi="Arial"/>
                <w:b/>
                <w:color w:val="123B5D"/>
                <w:sz w:val="17"/>
              </w:rPr>
              <w:t>FASE 1</w:t>
              <w:br/>
            </w:r>
            <w:r>
              <w:rPr>
                <w:rFonts w:ascii="Arial" w:hAnsi="Arial"/>
                <w:b w:val="0"/>
                <w:color w:val="3D4A52"/>
                <w:sz w:val="17"/>
              </w:rPr>
              <w:t>ISPWASH = expediente de soporte técnico estructurado, medible y auditable</w:t>
              <w:br/>
            </w:r>
            <w:r>
              <w:rPr>
                <w:rFonts w:ascii="Arial" w:hAnsi="Arial"/>
                <w:b/>
                <w:color w:val="123B5D"/>
                <w:sz w:val="17"/>
              </w:rPr>
              <w:t>FASE 2</w:t>
              <w:br/>
            </w:r>
            <w:r>
              <w:rPr>
                <w:rFonts w:ascii="Arial" w:hAnsi="Arial"/>
                <w:b w:val="0"/>
                <w:color w:val="3D4A52"/>
                <w:sz w:val="17"/>
              </w:rPr>
              <w:t>COLOMBIANETDIAGNOSTICO = motor de diagnóstico y analítica conectado por API</w:t>
              <w:br/>
            </w:r>
            <w:r>
              <w:rPr>
                <w:rFonts w:ascii="Arial" w:hAnsi="Arial"/>
                <w:b/>
                <w:color w:val="123B5D"/>
                <w:sz w:val="17"/>
              </w:rPr>
              <w:t>REGLA PERMANENTE</w:t>
              <w:br/>
            </w:r>
            <w:r>
              <w:rPr>
                <w:rFonts w:ascii="Arial" w:hAnsi="Arial"/>
                <w:b w:val="0"/>
                <w:color w:val="3D4A52"/>
                <w:sz w:val="17"/>
              </w:rPr>
              <w:t>1 ticket oficial en ISPwash · 0 tickets paralelos · integración segura y trazable</w:t>
            </w:r>
          </w:p>
        </w:tc>
      </w:tr>
    </w:tbl>
    <w:p>
      <w:pPr>
        <w:spacing w:after="0"/>
      </w:pPr>
    </w:p>
    <w:p>
      <w:pPr>
        <w:keepNext w:val="0"/>
        <w:spacing w:after="40" w:line="216" w:lineRule="exact" w:before="40"/>
      </w:pPr>
      <w:r>
        <w:rPr>
          <w:rFonts w:ascii="Arial" w:hAnsi="Arial" w:eastAsia="Arial"/>
          <w:b w:val="0"/>
          <w:i w:val="0"/>
          <w:color w:val="3D4A52"/>
          <w:sz w:val="18"/>
        </w:rPr>
        <w:t>Agradecemos su evaluación y quedamos atentos a la matriz de respuesta y a la coordinación de la reunión técnica correspondiente.</w:t>
      </w:r>
    </w:p>
    <w:p/>
    <w:p>
      <w:pPr>
        <w:keepNext w:val="0"/>
        <w:keepLines w:val="0"/>
        <w:spacing w:before="60" w:after="0" w:line="190" w:lineRule="exact"/>
      </w:pPr>
      <w:r>
        <w:rPr>
          <w:rFonts w:ascii="Arial" w:hAnsi="Arial"/>
          <w:b w:val="0"/>
          <w:color w:val="3D4A52"/>
          <w:sz w:val="17"/>
        </w:rPr>
        <w:t>Atentamente,</w:t>
        <w:br/>
      </w:r>
      <w:r>
        <w:rPr>
          <w:rFonts w:ascii="Arial" w:hAnsi="Arial"/>
          <w:b/>
          <w:color w:val="123B5D"/>
          <w:sz w:val="17"/>
        </w:rPr>
        <w:t>Joseh</w:t>
        <w:br/>
      </w:r>
      <w:r>
        <w:rPr>
          <w:rFonts w:ascii="Arial" w:hAnsi="Arial"/>
          <w:b w:val="0"/>
          <w:color w:val="3D4A52"/>
          <w:sz w:val="17"/>
        </w:rPr>
        <w:t>Gerente Regional – Sede Chaguaní</w:t>
        <w:br/>
      </w:r>
      <w:r>
        <w:rPr>
          <w:rFonts w:ascii="Arial" w:hAnsi="Arial"/>
          <w:b w:val="0"/>
          <w:color w:val="3D4A52"/>
          <w:sz w:val="17"/>
        </w:rPr>
        <w:t>Colombia Net de Occidente S.A.S.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893"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40"/>
      <w:gridCol w:w="3240"/>
      <w:gridCol w:w="3240"/>
    </w:tblGrid>
    <w:tr>
      <w:tc>
        <w:tcPr>
          <w:tcW w:type="dxa" w:w="3240"/>
          <w:tcMar>
            <w:top w:w="20" w:type="dxa"/>
            <w:start w:w="0" w:type="dxa"/>
            <w:bottom w:w="0" w:type="dxa"/>
            <w:end w:w="0" w:type="dxa"/>
          </w:tcMar>
          <w:tcBorders>
            <w:top w:val="single" w:sz="4" w:color="C8D1D6"/>
          </w:tcBorders>
        </w:tcPr>
        <w:p>
          <w:pPr>
            <w:spacing w:after="0"/>
          </w:pPr>
          <w:r>
            <w:rPr>
              <w:rFonts w:ascii="Arial" w:hAnsi="Arial" w:eastAsia="Arial"/>
              <w:b w:val="0"/>
              <w:i w:val="0"/>
              <w:color w:val="5F6D75"/>
              <w:sz w:val="16"/>
            </w:rPr>
            <w:t>Documento funcional y técnico</w:t>
          </w:r>
        </w:p>
      </w:tc>
      <w:tc>
        <w:tcPr>
          <w:tcW w:type="dxa" w:w="3240"/>
          <w:tcMar>
            <w:top w:w="20" w:type="dxa"/>
            <w:start w:w="0" w:type="dxa"/>
            <w:bottom w:w="0" w:type="dxa"/>
            <w:end w:w="0" w:type="dxa"/>
          </w:tcMar>
          <w:tcBorders>
            <w:top w:val="single" w:sz="4" w:color="C8D1D6"/>
          </w:tcBorders>
        </w:tcPr>
        <w:p>
          <w:pPr>
            <w:spacing w:after="0"/>
            <w:jc w:val="center"/>
          </w:pPr>
          <w:r>
            <w:rPr>
              <w:rFonts w:ascii="Arial" w:hAnsi="Arial" w:eastAsia="Arial"/>
              <w:b w:val="0"/>
              <w:i w:val="0"/>
              <w:color w:val="5F6D75"/>
              <w:sz w:val="16"/>
            </w:rPr>
            <w:t>Evaluación ISPwash</w:t>
          </w:r>
        </w:p>
      </w:tc>
      <w:tc>
        <w:tcPr>
          <w:tcW w:type="dxa" w:w="3240"/>
          <w:tcMar>
            <w:top w:w="20" w:type="dxa"/>
            <w:start w:w="0" w:type="dxa"/>
            <w:bottom w:w="0" w:type="dxa"/>
            <w:end w:w="0" w:type="dxa"/>
          </w:tcMar>
          <w:tcBorders>
            <w:top w:val="single" w:sz="4" w:color="C8D1D6"/>
          </w:tcBorders>
        </w:tcPr>
        <w:p>
          <w:pPr>
            <w:spacing w:after="0"/>
            <w:jc w:val="right"/>
          </w:pPr>
          <w:r>
            <w:rPr>
              <w:rFonts w:ascii="Arial" w:hAnsi="Arial" w:eastAsia="Arial"/>
              <w:b w:val="0"/>
              <w:i w:val="0"/>
              <w:color w:val="5F6D75"/>
              <w:sz w:val="16"/>
            </w:rPr>
            <w:t xml:space="preserve">Página </w:t>
          </w:r>
          <w:r>
            <w:rPr>
              <w:rFonts w:ascii="Arial" w:hAnsi="Arial" w:eastAsia="Arial"/>
              <w:color w:val="5F6D75"/>
              <w:sz w:val="17"/>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860"/>
      <w:gridCol w:w="4860"/>
    </w:tblGrid>
    <w:tr>
      <w:tc>
        <w:tcPr>
          <w:tcW w:type="dxa" w:w="6623"/>
          <w:shd w:fill="FFFFFF"/>
          <w:tcMar>
            <w:top w:w="10" w:type="dxa"/>
            <w:start w:w="0" w:type="dxa"/>
            <w:bottom w:w="20" w:type="dxa"/>
            <w:end w:w="0" w:type="dxa"/>
          </w:tcMar>
          <w:tcBorders>
            <w:bottom w:val="single" w:sz="6" w:color="D6A84B"/>
          </w:tcBorders>
        </w:tcPr>
        <w:p>
          <w:pPr>
            <w:spacing w:after="0"/>
          </w:pPr>
          <w:r>
            <w:rPr>
              <w:rFonts w:ascii="Arial" w:hAnsi="Arial" w:eastAsia="Arial"/>
              <w:b/>
              <w:i w:val="0"/>
              <w:color w:val="123B5D"/>
              <w:sz w:val="17"/>
            </w:rPr>
            <w:t>COLOMBIA NET DE OCCIDENTE S.A.S.</w:t>
          </w:r>
        </w:p>
      </w:tc>
      <w:tc>
        <w:tcPr>
          <w:tcW w:type="dxa" w:w="3096"/>
          <w:shd w:fill="FFFFFF"/>
          <w:tcMar>
            <w:top w:w="10" w:type="dxa"/>
            <w:start w:w="0" w:type="dxa"/>
            <w:bottom w:w="20" w:type="dxa"/>
            <w:end w:w="0" w:type="dxa"/>
          </w:tcMar>
          <w:tcBorders>
            <w:bottom w:val="single" w:sz="6" w:color="D6A84B"/>
          </w:tcBorders>
        </w:tcPr>
        <w:p>
          <w:pPr>
            <w:spacing w:after="0"/>
            <w:jc w:val="right"/>
          </w:pPr>
          <w:r>
            <w:rPr>
              <w:rFonts w:ascii="Arial" w:hAnsi="Arial" w:eastAsia="Arial"/>
              <w:b/>
              <w:i w:val="0"/>
              <w:color w:val="1F6F78"/>
              <w:sz w:val="16"/>
            </w:rPr>
            <w:t>CNO-ISPWASH-ST-API · V1.1</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ISPwash — Tickets de soporte e integración API CNO V1.1</dc:title>
  <dc:subject>Reestructuración de tickets de soporte técnico y contrato/integración API con ColombiaNetDiagnostico</dc:subject>
  <dc:creator>Colombia Net de Occidente S.A.S. – Joseh, Gerente Regional Sede Chaguaní</dc:creator>
  <cp:keywords>ISPwash, soporte técnico, OpenAPI, API, ColombiaNetDiagnostico, CNO</cp:keywords>
  <dc:description>Versión 1.1 validada contra el desarrollo CNO al 10 de agosto de 2026; maquetación revisada visualmente y defectos de tablas/paginación corregidos.</dc:description>
  <cp:lastModifiedBy/>
  <cp:revision>1</cp:revision>
  <dcterms:created xsi:type="dcterms:W3CDTF">2013-12-23T23:15:00Z</dcterms:created>
  <dcterms:modified xsi:type="dcterms:W3CDTF">2013-12-23T23:15:00Z</dcterms:modified>
  <cp:category/>
</cp:coreProperties>
</file>