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center"/>
            </w:pPr>
            <w:r>
              <w:rPr/>
            </w:r>
          </w:p>
          <w:p>
            <w:pPr>
              <w:pStyle w:val="style0"/>
              <w:jc w:val="center"/>
            </w:pPr>
            <w:r>
              <w:rPr/>
              <w:t xml:space="preserve"> </w:t>
            </w:r>
          </w:p>
          <w:p>
            <w:pPr>
              <w:pStyle w:val="style0"/>
              <w:jc w:val="center"/>
            </w:pPr>
            <w:r>
              <w:rPr/>
              <w:t xml:space="preserve">                                                                                                                                                                   </w:t>
            </w:r>
            <w:r>
              <w:rPr/>
              <w:tab/>
            </w:r>
          </w:p>
        </w:tc>
      </w:tr>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center"/>
            </w:pPr>
            <w:r>
              <w:rPr>
                <w:rFonts w:ascii="Cambria" w:cs="Cambria" w:eastAsia="Cambria" w:hAnsi="Cambria"/>
                <w:sz w:val="64"/>
              </w:rPr>
              <w:t>Guide d’opération</w:t>
            </w:r>
          </w:p>
        </w:tc>
      </w:tr>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center"/>
            </w:pPr>
            <w:r>
              <w:rPr>
                <w:rFonts w:ascii="Cambria" w:cs="Cambria" w:eastAsia="Cambria" w:hAnsi="Cambria"/>
                <w:sz w:val="24"/>
              </w:rPr>
              <w:t xml:space="preserve"> </w:t>
            </w:r>
          </w:p>
          <w:p>
            <w:pPr>
              <w:pStyle w:val="style0"/>
              <w:jc w:val="center"/>
            </w:pPr>
            <w:r>
              <w:rPr>
                <w:rFonts w:ascii="Cambria" w:cs="Cambria" w:eastAsia="Cambria" w:hAnsi="Cambria"/>
                <w:sz w:val="24"/>
              </w:rPr>
              <w:t>Cuiseur de riz</w:t>
            </w:r>
          </w:p>
        </w:tc>
      </w:tr>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center"/>
            </w:pPr>
            <w:r>
              <w:rPr>
                <w:rFonts w:ascii="Cambria" w:cs="Cambria" w:eastAsia="Cambria" w:hAnsi="Cambria"/>
                <w:sz w:val="24"/>
              </w:rPr>
              <w:t>Version 1.0</w:t>
            </w:r>
          </w:p>
          <w:p>
            <w:pPr>
              <w:pStyle w:val="style0"/>
              <w:jc w:val="center"/>
            </w:pPr>
            <w:r>
              <w:rPr/>
              <w:t xml:space="preserve"> </w:t>
            </w:r>
          </w:p>
          <w:p>
            <w:pPr>
              <w:pStyle w:val="style0"/>
              <w:jc w:val="center"/>
            </w:pPr>
            <w:r>
              <w:rPr/>
              <w:t xml:space="preserve"> </w:t>
            </w:r>
          </w:p>
          <w:p>
            <w:pPr>
              <w:pStyle w:val="style0"/>
              <w:jc w:val="center"/>
            </w:pPr>
            <w:r>
              <w:rPr/>
              <w:t xml:space="preserve"> </w:t>
            </w:r>
          </w:p>
          <w:p>
            <w:pPr>
              <w:pStyle w:val="style0"/>
              <w:jc w:val="center"/>
            </w:pPr>
            <w:r>
              <w:rPr/>
              <w:t xml:space="preserve"> </w:t>
            </w:r>
          </w:p>
          <w:p>
            <w:pPr>
              <w:pStyle w:val="style0"/>
              <w:jc w:val="center"/>
            </w:pPr>
            <w:r>
              <w:rPr/>
              <w:t xml:space="preserve"> </w:t>
            </w:r>
          </w:p>
          <w:p>
            <w:pPr>
              <w:pStyle w:val="style0"/>
              <w:jc w:val="center"/>
            </w:pPr>
            <w:r>
              <w:rPr/>
              <w:t xml:space="preserve"> </w:t>
            </w:r>
          </w:p>
          <w:p>
            <w:pPr>
              <w:pStyle w:val="style0"/>
              <w:jc w:val="center"/>
            </w:pPr>
            <w:r>
              <w:rPr/>
              <w:t xml:space="preserve"> </w:t>
            </w:r>
          </w:p>
          <w:p>
            <w:pPr>
              <w:pStyle w:val="style0"/>
              <w:jc w:val="center"/>
            </w:pPr>
            <w:r>
              <w:rPr/>
              <w:t xml:space="preserve"> </w:t>
            </w:r>
          </w:p>
        </w:tc>
      </w:tr>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center"/>
            </w:pPr>
            <w:r>
              <w:rPr>
                <w:b/>
              </w:rPr>
              <w:t>René-Alexandre Giroux</w:t>
            </w:r>
          </w:p>
          <w:p>
            <w:pPr>
              <w:pStyle w:val="style0"/>
              <w:jc w:val="center"/>
            </w:pPr>
            <w:r>
              <w:rPr>
                <w:b/>
              </w:rPr>
              <w:t>Israel Hallé</w:t>
            </w:r>
          </w:p>
          <w:p>
            <w:pPr>
              <w:pStyle w:val="style0"/>
              <w:jc w:val="center"/>
            </w:pPr>
            <w:r>
              <w:rPr>
                <w:b/>
              </w:rPr>
              <w:t>Martin Grenier</w:t>
            </w:r>
          </w:p>
          <w:p>
            <w:pPr>
              <w:pStyle w:val="style0"/>
              <w:jc w:val="center"/>
            </w:pPr>
            <w:r>
              <w:rPr>
                <w:b/>
              </w:rPr>
              <w:t>Mathieu Guérin</w:t>
            </w:r>
          </w:p>
          <w:p>
            <w:pPr>
              <w:pStyle w:val="style0"/>
              <w:jc w:val="center"/>
            </w:pPr>
            <w:r>
              <w:rPr/>
            </w:r>
          </w:p>
        </w:tc>
      </w:tr>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center"/>
            </w:pPr>
            <w:r>
              <w:rPr>
                <w:b/>
              </w:rPr>
              <w:t>25/03/2012</w:t>
            </w:r>
          </w:p>
        </w:tc>
      </w:tr>
    </w:tbl>
    <w:p>
      <w:pPr>
        <w:pStyle w:val="style0"/>
      </w:pPr>
      <w:r>
        <w:rPr/>
        <w:t xml:space="preserve"> </w:t>
      </w:r>
    </w:p>
    <w:p>
      <w:pPr>
        <w:pStyle w:val="style0"/>
      </w:pPr>
      <w:r>
        <w:rPr/>
        <w:t xml:space="preserve"> </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ind w:hanging="0" w:left="120" w:right="120"/>
            </w:pPr>
            <w:r>
              <w:rPr>
                <w:i/>
              </w:rPr>
              <w:t>Ce document contient les informations nécessaires à l’installation et à la gestion du logiciel.</w:t>
            </w:r>
          </w:p>
        </w:tc>
      </w:tr>
    </w:tbl>
    <w:p>
      <w:pPr>
        <w:pStyle w:val="style0"/>
      </w:pPr>
      <w:r>
        <w:rPr/>
        <w:t xml:space="preserve"> </w:t>
      </w:r>
    </w:p>
    <w:p>
      <w:pPr>
        <w:pStyle w:val="style0"/>
      </w:pPr>
      <w:r>
        <w:rPr/>
      </w:r>
    </w:p>
    <w:p>
      <w:pPr>
        <w:pStyle w:val="style0"/>
        <w:jc w:val="center"/>
      </w:pPr>
      <w:r>
        <w:rPr/>
        <w:t xml:space="preserve"> </w:t>
      </w:r>
    </w:p>
    <w:p>
      <w:pPr>
        <w:pStyle w:val="style0"/>
        <w:jc w:val="center"/>
      </w:pPr>
      <w:r>
        <w:rPr>
          <w:rFonts w:ascii="Cambria" w:cs="Cambria" w:eastAsia="Cambria" w:hAnsi="Cambria"/>
          <w:b/>
          <w:sz w:val="28"/>
        </w:rPr>
        <w:t xml:space="preserve"> </w:t>
      </w:r>
    </w:p>
    <w:p>
      <w:pPr>
        <w:pStyle w:val="style0"/>
        <w:pageBreakBefore/>
        <w:jc w:val="center"/>
      </w:pPr>
      <w:r>
        <w:rPr>
          <w:rFonts w:ascii="Cambria" w:cs="Cambria" w:eastAsia="Cambria" w:hAnsi="Cambria"/>
          <w:b/>
          <w:sz w:val="28"/>
        </w:rPr>
        <w:t>Historique des révisions</w:t>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2340"/>
        <w:gridCol w:w="2340"/>
        <w:gridCol w:w="2340"/>
        <w:gridCol w:w="2340"/>
      </w:tblGrid>
      <w:tr>
        <w:trPr>
          <w:cantSplit w:val="false"/>
        </w:trPr>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center"/>
            </w:pPr>
            <w:r>
              <w:rPr>
                <w:b/>
              </w:rPr>
              <w:t>Date</w:t>
            </w:r>
          </w:p>
          <w:p>
            <w:pPr>
              <w:pStyle w:val="style0"/>
              <w:jc w:val="center"/>
            </w:pPr>
            <w:r>
              <w:rPr/>
              <w:t>(jj-mm-aaaa)</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center"/>
            </w:pPr>
            <w:r>
              <w:rPr>
                <w:b/>
              </w:rPr>
              <w:t>Version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center"/>
            </w:pPr>
            <w:r>
              <w:rPr>
                <w:b/>
              </w:rPr>
              <w:t>Description</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center"/>
            </w:pPr>
            <w:r>
              <w:rPr>
                <w:b/>
              </w:rPr>
              <w:t>Auteur</w:t>
            </w:r>
          </w:p>
        </w:tc>
      </w:tr>
      <w:tr>
        <w:trPr>
          <w:cantSplit w:val="false"/>
        </w:trPr>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25-03-2013</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1.0</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Version initial</w:t>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t>Martin Grenier</w:t>
            </w:r>
          </w:p>
        </w:tc>
      </w:tr>
      <w:tr>
        <w:trPr>
          <w:cantSplit w:val="false"/>
        </w:trPr>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r>
          </w:p>
        </w:tc>
        <w:tc>
          <w:tcPr>
            <w:tcW w:type="dxa" w:w="234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pPr>
            <w:r>
              <w:rPr/>
            </w:r>
          </w:p>
        </w:tc>
      </w:tr>
    </w:tbl>
    <w:p>
      <w:pPr>
        <w:pStyle w:val="style0"/>
      </w:pPr>
      <w:r>
        <w:rPr>
          <w:sz w:val="20"/>
        </w:rPr>
        <w:t xml:space="preserve"> </w:t>
      </w:r>
    </w:p>
    <w:p>
      <w:pPr>
        <w:pStyle w:val="style0"/>
      </w:pPr>
      <w:r>
        <w:rPr/>
      </w:r>
    </w:p>
    <w:p>
      <w:pPr>
        <w:pStyle w:val="style0"/>
      </w:pPr>
      <w:r>
        <w:rPr/>
        <w:t xml:space="preserve"> </w:t>
      </w:r>
    </w:p>
    <w:p>
      <w:pPr>
        <w:sectPr>
          <w:type w:val="nextPage"/>
          <w:pgSz w:h="15840" w:w="12240"/>
          <w:pgMar w:bottom="1440" w:footer="0" w:gutter="0" w:header="0" w:left="1440" w:right="1440" w:top="1440"/>
          <w:pgNumType w:fmt="decimal"/>
          <w:formProt w:val="false"/>
          <w:textDirection w:val="lrTb"/>
          <w:docGrid w:charSpace="0" w:linePitch="240" w:type="default"/>
        </w:sectPr>
      </w:pPr>
    </w:p>
    <w:p>
      <w:pPr>
        <w:pStyle w:val="style26"/>
      </w:pPr>
      <w:r>
        <w:rPr/>
        <w:t>Table des matières</w:t>
      </w:r>
    </w:p>
    <w:p>
      <w:pPr>
        <w:sectPr>
          <w:type w:val="continuous"/>
          <w:pgSz w:h="15840" w:w="12240"/>
          <w:pgMar w:bottom="1440" w:footer="0" w:gutter="0" w:header="0" w:left="1440" w:right="1440" w:top="1440"/>
          <w:formProt w:val="false"/>
          <w:textDirection w:val="lrTb"/>
          <w:docGrid w:charSpace="0" w:linePitch="240" w:type="default"/>
        </w:sectPr>
      </w:pPr>
    </w:p>
    <w:p>
      <w:pPr>
        <w:pStyle w:val="style27"/>
        <w:tabs>
          <w:tab w:leader="dot" w:pos="9360" w:val="right"/>
        </w:tabs>
      </w:pPr>
      <w:r>
        <w:fldChar w:fldCharType="begin"/>
      </w:r>
      <w:r>
        <w:instrText> TOC \f \o "1-9" \o "1-9" \h</w:instrText>
      </w:r>
      <w:r>
        <w:fldChar w:fldCharType="separate"/>
      </w:r>
      <w:hyperlink w:anchor="__RefHeading__288_1622329535">
        <w:r>
          <w:rPr>
            <w:rStyle w:val="style17"/>
          </w:rPr>
          <w:t>1. Introduction</w:t>
          <w:tab/>
          <w:t>2</w:t>
        </w:r>
      </w:hyperlink>
    </w:p>
    <w:p>
      <w:pPr>
        <w:pStyle w:val="style28"/>
        <w:tabs>
          <w:tab w:leader="dot" w:pos="9643" w:val="right"/>
        </w:tabs>
      </w:pPr>
      <w:hyperlink w:anchor="__RefHeading__290_1622329535">
        <w:r>
          <w:rPr>
            <w:rStyle w:val="style17"/>
          </w:rPr>
          <w:t>1.1. Objectif</w:t>
          <w:tab/>
          <w:t>2</w:t>
        </w:r>
      </w:hyperlink>
    </w:p>
    <w:p>
      <w:pPr>
        <w:pStyle w:val="style28"/>
        <w:tabs>
          <w:tab w:leader="dot" w:pos="9643" w:val="right"/>
        </w:tabs>
      </w:pPr>
      <w:hyperlink w:anchor="__RefHeading__292_1622329535">
        <w:r>
          <w:rPr>
            <w:rStyle w:val="style17"/>
          </w:rPr>
          <w:t>1.2. Portée</w:t>
          <w:tab/>
          <w:t>2</w:t>
        </w:r>
      </w:hyperlink>
    </w:p>
    <w:p>
      <w:pPr>
        <w:pStyle w:val="style28"/>
        <w:tabs>
          <w:tab w:leader="dot" w:pos="9643" w:val="right"/>
        </w:tabs>
      </w:pPr>
      <w:hyperlink w:anchor="__RefHeading__294_1622329535">
        <w:r>
          <w:rPr>
            <w:rStyle w:val="style17"/>
          </w:rPr>
          <w:t>1.3.Références</w:t>
          <w:tab/>
          <w:t>2</w:t>
        </w:r>
      </w:hyperlink>
    </w:p>
    <w:p>
      <w:pPr>
        <w:pStyle w:val="style27"/>
        <w:tabs>
          <w:tab w:leader="dot" w:pos="9360" w:val="right"/>
        </w:tabs>
      </w:pPr>
      <w:hyperlink w:anchor="__RefHeading__296_1622329535">
        <w:r>
          <w:rPr>
            <w:rStyle w:val="style17"/>
          </w:rPr>
          <w:t>2.    Critères d’opération</w:t>
          <w:tab/>
          <w:t>3</w:t>
        </w:r>
      </w:hyperlink>
    </w:p>
    <w:p>
      <w:pPr>
        <w:pStyle w:val="style27"/>
        <w:tabs>
          <w:tab w:leader="dot" w:pos="9360" w:val="right"/>
        </w:tabs>
      </w:pPr>
      <w:hyperlink w:anchor="__RefHeading__298_1622329535">
        <w:r>
          <w:rPr>
            <w:rStyle w:val="style17"/>
          </w:rPr>
          <w:t>3.    Description du fonctionnement du produit, notamment:</w:t>
          <w:tab/>
          <w:t>3</w:t>
        </w:r>
      </w:hyperlink>
    </w:p>
    <w:p>
      <w:pPr>
        <w:pStyle w:val="style27"/>
        <w:tabs>
          <w:tab w:leader="dot" w:pos="9360" w:val="right"/>
        </w:tabs>
      </w:pPr>
      <w:hyperlink w:anchor="__RefHeading__300_1622329535">
        <w:r>
          <w:rPr>
            <w:rStyle w:val="style17"/>
          </w:rPr>
          <w:t>4.    Certification et approbations en matière de sûreté de fonctionnement</w:t>
          <w:tab/>
          <w:t>3</w:t>
        </w:r>
      </w:hyperlink>
    </w:p>
    <w:p>
      <w:pPr>
        <w:pStyle w:val="style27"/>
        <w:tabs>
          <w:tab w:leader="dot" w:pos="9360" w:val="right"/>
        </w:tabs>
      </w:pPr>
      <w:hyperlink w:anchor="__RefHeading__302_1622329535">
        <w:r>
          <w:rPr>
            <w:rStyle w:val="style17"/>
          </w:rPr>
          <w:t>6.    Glossaire</w:t>
          <w:tab/>
          <w:t>4</w:t>
        </w:r>
        <w:r>
          <w:fldChar w:fldCharType="end"/>
        </w:r>
      </w:hyperlink>
    </w:p>
    <w:p>
      <w:pPr>
        <w:sectPr>
          <w:type w:val="continuous"/>
          <w:pgSz w:h="15840" w:w="12240"/>
          <w:pgMar w:bottom="1440" w:footer="0" w:gutter="0" w:header="0" w:left="1440" w:right="1440" w:top="1440"/>
          <w:formProt/>
          <w:textDirection w:val="lrTb"/>
          <w:docGrid w:charSpace="0" w:linePitch="240" w:type="default"/>
        </w:sectPr>
      </w:pPr>
    </w:p>
    <w:p>
      <w:pPr>
        <w:pStyle w:val="style0"/>
        <w:jc w:val="center"/>
      </w:pPr>
      <w:r>
        <w:rPr/>
      </w:r>
    </w:p>
    <w:p>
      <w:pPr>
        <w:pStyle w:val="style0"/>
      </w:pPr>
      <w:r>
        <w:rPr/>
        <w:t xml:space="preserve"> </w:t>
      </w:r>
    </w:p>
    <w:p>
      <w:pPr>
        <w:pStyle w:val="style0"/>
      </w:pPr>
      <w:r>
        <w:rPr/>
      </w:r>
    </w:p>
    <w:p>
      <w:pPr>
        <w:pStyle w:val="style0"/>
      </w:pPr>
      <w:r>
        <w:rPr/>
        <w:t xml:space="preserve"> </w:t>
      </w:r>
    </w:p>
    <w:p>
      <w:pPr>
        <w:pStyle w:val="style1"/>
        <w:widowControl/>
        <w:spacing w:after="120" w:before="480" w:line="100" w:lineRule="atLeast"/>
        <w:ind w:hanging="0" w:left="0" w:right="0"/>
        <w:jc w:val="left"/>
      </w:pPr>
      <w:r>
        <w:rPr/>
      </w:r>
    </w:p>
    <w:p>
      <w:pPr>
        <w:pStyle w:val="style1"/>
        <w:pageBreakBefore/>
        <w:numPr>
          <w:ilvl w:val="0"/>
          <w:numId w:val="1"/>
        </w:numPr>
        <w:spacing w:after="120" w:before="480" w:line="100" w:lineRule="atLeast"/>
      </w:pPr>
      <w:bookmarkStart w:id="0" w:name="__RefHeading__288_1622329535"/>
      <w:bookmarkEnd w:id="0"/>
      <w:r>
        <w:rPr>
          <w:rFonts w:ascii="Arial" w:cs="Arial" w:eastAsia="Arial" w:hAnsi="Arial"/>
          <w:b/>
          <w:sz w:val="48"/>
        </w:rPr>
        <w:t>1. Introduction</w:t>
      </w:r>
    </w:p>
    <w:p>
      <w:pPr>
        <w:pStyle w:val="style2"/>
        <w:numPr>
          <w:ilvl w:val="1"/>
          <w:numId w:val="1"/>
        </w:numPr>
        <w:spacing w:after="80" w:before="360" w:line="100" w:lineRule="atLeast"/>
        <w:ind w:hanging="0" w:left="440" w:right="0"/>
      </w:pPr>
      <w:bookmarkStart w:id="1" w:name="__RefHeading__290_1622329535"/>
      <w:bookmarkEnd w:id="1"/>
      <w:r>
        <w:rPr>
          <w:rFonts w:ascii="Arial" w:cs="Arial" w:eastAsia="Arial" w:hAnsi="Arial"/>
          <w:sz w:val="36"/>
        </w:rPr>
        <w:t>1.1. Objectif</w:t>
      </w:r>
    </w:p>
    <w:p>
      <w:pPr>
        <w:pStyle w:val="style0"/>
        <w:jc w:val="both"/>
      </w:pPr>
      <w:r>
        <w:rPr/>
        <w:t xml:space="preserve">Le but du présent document est de décrire les informations nécessaires à l’installation et à la gestion du logiciel. </w:t>
      </w:r>
      <w:r>
        <w:rPr>
          <w:i/>
          <w:color w:val="548DD4"/>
        </w:rPr>
        <w:t>[Il devrait être rédigé de façon à ce que le personnel responsable de son fonctionnement le comprenne.]</w:t>
      </w:r>
    </w:p>
    <w:p>
      <w:pPr>
        <w:pStyle w:val="style2"/>
        <w:numPr>
          <w:ilvl w:val="1"/>
          <w:numId w:val="1"/>
        </w:numPr>
        <w:spacing w:after="80" w:before="360" w:line="100" w:lineRule="atLeast"/>
        <w:ind w:hanging="0" w:left="440" w:right="0"/>
      </w:pPr>
      <w:bookmarkStart w:id="2" w:name="__RefHeading__292_1622329535"/>
      <w:bookmarkEnd w:id="2"/>
      <w:r>
        <w:rPr>
          <w:rFonts w:ascii="Arial" w:cs="Arial" w:eastAsia="Arial" w:hAnsi="Arial"/>
          <w:sz w:val="36"/>
        </w:rPr>
        <w:t>1.2. Portée</w:t>
      </w:r>
    </w:p>
    <w:p>
      <w:pPr>
        <w:pStyle w:val="style0"/>
        <w:jc w:val="both"/>
      </w:pPr>
      <w:r>
        <w:rPr/>
        <w:t>Notre projet est limité au composant logiciel. Une équipe externe s’occupe de concevoir et développer les composantes électroniques du cuiseur de riz. Ces composantes fournissent les entrées et sorties montrée dans le graphique ci-haut que notre logiciel utilisera afin interagir avec l’utilisateur et de contrôler la température du cuiseur de riz.</w:t>
      </w:r>
    </w:p>
    <w:p>
      <w:pPr>
        <w:pStyle w:val="style0"/>
        <w:jc w:val="both"/>
      </w:pPr>
      <w:r>
        <w:rPr/>
      </w:r>
    </w:p>
    <w:p>
      <w:pPr>
        <w:pStyle w:val="style2"/>
        <w:numPr>
          <w:ilvl w:val="1"/>
          <w:numId w:val="1"/>
        </w:numPr>
        <w:spacing w:after="80" w:before="360" w:line="100" w:lineRule="atLeast"/>
        <w:ind w:hanging="0" w:left="440" w:right="0"/>
      </w:pPr>
      <w:bookmarkStart w:id="3" w:name="__RefHeading__294_1622329535"/>
      <w:bookmarkEnd w:id="3"/>
      <w:r>
        <w:rPr>
          <w:rFonts w:ascii="Arial" w:cs="Arial" w:eastAsia="Arial" w:hAnsi="Arial"/>
          <w:sz w:val="36"/>
        </w:rPr>
        <w:t>1.3.Références</w:t>
      </w:r>
    </w:p>
    <w:p>
      <w:pPr>
        <w:pStyle w:val="style0"/>
        <w:jc w:val="both"/>
      </w:pPr>
      <w:r>
        <w:rPr/>
        <w:t>RF1 : Plan de projet, Version 1.1, Plan-de-projet.pdf</w:t>
      </w:r>
    </w:p>
    <w:p>
      <w:pPr>
        <w:pStyle w:val="style0"/>
        <w:jc w:val="both"/>
      </w:pPr>
      <w:r>
        <w:rPr/>
        <w:t>RF2 : Spécification des exigences, Version 1.1, Spécification-des-exigence.pdf</w:t>
      </w:r>
    </w:p>
    <w:p>
      <w:pPr>
        <w:pStyle w:val="style1"/>
        <w:numPr>
          <w:ilvl w:val="0"/>
          <w:numId w:val="1"/>
        </w:numPr>
        <w:spacing w:after="120" w:before="480" w:line="100" w:lineRule="atLeast"/>
        <w:ind w:hanging="0" w:left="360" w:right="0"/>
      </w:pPr>
      <w:bookmarkStart w:id="4" w:name="__RefHeading__296_1622329535"/>
      <w:bookmarkEnd w:id="4"/>
      <w:r>
        <w:rPr>
          <w:rFonts w:ascii="Arial" w:cs="Arial" w:eastAsia="Arial" w:hAnsi="Arial"/>
          <w:b/>
          <w:sz w:val="48"/>
        </w:rPr>
        <w:t>2.</w:t>
      </w:r>
      <w:r>
        <w:rPr>
          <w:rFonts w:ascii="Times New Roman" w:cs="Times New Roman" w:eastAsia="Times New Roman" w:hAnsi="Times New Roman"/>
          <w:sz w:val="14"/>
        </w:rPr>
        <w:t xml:space="preserve">    </w:t>
      </w:r>
      <w:r>
        <w:rPr>
          <w:rFonts w:ascii="Arial" w:cs="Arial" w:eastAsia="Arial" w:hAnsi="Arial"/>
          <w:b/>
          <w:sz w:val="48"/>
        </w:rPr>
        <w:t>Critères d’opération</w:t>
      </w:r>
    </w:p>
    <w:p>
      <w:pPr>
        <w:pStyle w:val="style0"/>
      </w:pPr>
      <w:r>
        <w:rPr/>
      </w:r>
    </w:p>
    <w:p>
      <w:pPr>
        <w:pStyle w:val="style0"/>
      </w:pPr>
      <w:r>
        <w:rPr/>
        <w:t>Le cuiseur doit être branché et sur une surface plane pour bien fonctionner. Le cuiseur doit être dans un milieu sec et dans une pièce bien aérée pour bien fonctionner.</w:t>
      </w:r>
    </w:p>
    <w:p>
      <w:pPr>
        <w:pStyle w:val="style1"/>
        <w:numPr>
          <w:ilvl w:val="0"/>
          <w:numId w:val="1"/>
        </w:numPr>
        <w:spacing w:after="120" w:before="480" w:line="100" w:lineRule="atLeast"/>
        <w:ind w:hanging="0" w:left="360" w:right="0"/>
      </w:pPr>
      <w:bookmarkStart w:id="5" w:name="__RefHeading__298_1622329535"/>
      <w:bookmarkEnd w:id="5"/>
      <w:r>
        <w:rPr>
          <w:rFonts w:ascii="Arial" w:cs="Arial" w:eastAsia="Arial" w:hAnsi="Arial"/>
          <w:b/>
          <w:sz w:val="48"/>
        </w:rPr>
        <w:t>3.</w:t>
      </w:r>
      <w:r>
        <w:rPr>
          <w:rFonts w:ascii="Times New Roman" w:cs="Times New Roman" w:eastAsia="Times New Roman" w:hAnsi="Times New Roman"/>
          <w:sz w:val="14"/>
        </w:rPr>
        <w:t xml:space="preserve">    </w:t>
      </w:r>
      <w:r>
        <w:rPr>
          <w:rFonts w:ascii="Arial" w:cs="Arial" w:eastAsia="Arial" w:hAnsi="Arial"/>
          <w:b/>
          <w:sz w:val="48"/>
        </w:rPr>
        <w:t>Description du fonctionnement du produit, notamment:</w:t>
      </w:r>
    </w:p>
    <w:p>
      <w:pPr>
        <w:pStyle w:val="style0"/>
        <w:ind w:hanging="359" w:left="0" w:right="0"/>
      </w:pPr>
      <w:r>
        <w:rPr/>
        <w:t>·</w:t>
      </w:r>
      <w:r>
        <w:rPr>
          <w:rFonts w:ascii="Times New Roman" w:cs="Times New Roman" w:eastAsia="Times New Roman" w:hAnsi="Times New Roman"/>
          <w:sz w:val="14"/>
        </w:rPr>
        <w:t xml:space="preserve">       </w:t>
      </w:r>
      <w:r>
        <w:rPr/>
        <w:t>Environnement d’opération requis:</w:t>
      </w:r>
    </w:p>
    <w:p>
      <w:pPr>
        <w:pStyle w:val="style0"/>
        <w:numPr>
          <w:ilvl w:val="0"/>
          <w:numId w:val="3"/>
        </w:numPr>
        <w:ind w:hanging="359" w:left="720" w:right="0"/>
      </w:pPr>
      <w:r>
        <w:rPr/>
        <w:t>Le logiciel fonctionne assurément entre -4°C et 28°C</w:t>
      </w:r>
    </w:p>
    <w:p>
      <w:pPr>
        <w:pStyle w:val="style0"/>
        <w:ind w:hanging="359" w:left="0" w:right="0"/>
      </w:pPr>
      <w:r>
        <w:rPr/>
      </w:r>
    </w:p>
    <w:p>
      <w:pPr>
        <w:pStyle w:val="style0"/>
        <w:ind w:hanging="359" w:left="0" w:right="0"/>
      </w:pPr>
      <w:r>
        <w:rPr/>
        <w:t>·</w:t>
      </w:r>
      <w:r>
        <w:rPr>
          <w:rFonts w:ascii="Times New Roman" w:cs="Times New Roman" w:eastAsia="Times New Roman" w:hAnsi="Times New Roman"/>
          <w:sz w:val="14"/>
        </w:rPr>
        <w:t xml:space="preserve">       </w:t>
      </w:r>
      <w:r>
        <w:rPr/>
        <w:t>Outils et matériel de soutien requis</w:t>
      </w:r>
    </w:p>
    <w:p>
      <w:pPr>
        <w:pStyle w:val="style0"/>
        <w:numPr>
          <w:ilvl w:val="0"/>
          <w:numId w:val="2"/>
        </w:numPr>
        <w:spacing w:after="0" w:before="0" w:line="276" w:lineRule="auto"/>
        <w:ind w:hanging="359" w:left="720" w:right="0"/>
        <w:jc w:val="left"/>
      </w:pPr>
      <w:r>
        <w:rPr/>
        <w:t>Le cuiseur de riz</w:t>
      </w:r>
    </w:p>
    <w:p>
      <w:pPr>
        <w:pStyle w:val="style0"/>
        <w:numPr>
          <w:ilvl w:val="0"/>
          <w:numId w:val="2"/>
        </w:numPr>
        <w:spacing w:after="0" w:before="0" w:line="276" w:lineRule="auto"/>
        <w:ind w:hanging="359" w:left="720" w:right="0"/>
        <w:jc w:val="left"/>
      </w:pPr>
      <w:r>
        <w:rPr/>
        <w:t>La marmite du cuiseur de riz</w:t>
      </w:r>
    </w:p>
    <w:p>
      <w:pPr>
        <w:pStyle w:val="style0"/>
        <w:numPr>
          <w:ilvl w:val="0"/>
          <w:numId w:val="2"/>
        </w:numPr>
        <w:spacing w:after="0" w:before="0" w:line="276" w:lineRule="auto"/>
        <w:ind w:hanging="359" w:left="720" w:right="0"/>
        <w:jc w:val="left"/>
      </w:pPr>
      <w:r>
        <w:rPr/>
        <w:t>Le fil de branchement pour alimenter le cuiseur de riz</w:t>
      </w:r>
    </w:p>
    <w:p>
      <w:pPr>
        <w:pStyle w:val="style0"/>
        <w:numPr>
          <w:ilvl w:val="0"/>
          <w:numId w:val="2"/>
        </w:numPr>
        <w:spacing w:after="0" w:before="0" w:line="276" w:lineRule="auto"/>
        <w:ind w:hanging="359" w:left="720" w:right="0"/>
        <w:jc w:val="left"/>
      </w:pPr>
      <w:r>
        <w:rPr/>
        <w:t>Le manuel utilisateur</w:t>
      </w:r>
    </w:p>
    <w:p>
      <w:pPr>
        <w:pStyle w:val="style0"/>
      </w:pPr>
      <w:r>
        <w:rPr/>
      </w:r>
    </w:p>
    <w:p>
      <w:pPr>
        <w:pStyle w:val="style0"/>
        <w:ind w:hanging="359" w:left="0" w:right="0"/>
      </w:pPr>
      <w:r>
        <w:rPr/>
        <w:t>·</w:t>
      </w:r>
      <w:r>
        <w:rPr>
          <w:rFonts w:ascii="Times New Roman" w:cs="Times New Roman" w:eastAsia="Times New Roman" w:hAnsi="Times New Roman"/>
          <w:sz w:val="14"/>
        </w:rPr>
        <w:t xml:space="preserve">       </w:t>
      </w:r>
      <w:r>
        <w:rPr/>
        <w:t>Mises en garde en matière de sûreté de fonctionnement</w:t>
      </w:r>
    </w:p>
    <w:p>
      <w:pPr>
        <w:pStyle w:val="style0"/>
        <w:numPr>
          <w:ilvl w:val="0"/>
          <w:numId w:val="2"/>
        </w:numPr>
        <w:ind w:hanging="359" w:left="720" w:right="0"/>
      </w:pPr>
      <w:r>
        <w:rPr/>
        <w:t>Si il y a de la fumée. Débranchez le cordon d’alimentation</w:t>
      </w:r>
    </w:p>
    <w:p>
      <w:pPr>
        <w:pStyle w:val="style0"/>
        <w:numPr>
          <w:ilvl w:val="0"/>
          <w:numId w:val="2"/>
        </w:numPr>
        <w:ind w:hanging="359" w:left="720" w:right="0"/>
      </w:pPr>
      <w:r>
        <w:rPr/>
        <w:t>Fermez le couvercle avant la cuisson</w:t>
      </w:r>
    </w:p>
    <w:p>
      <w:pPr>
        <w:pStyle w:val="style0"/>
        <w:numPr>
          <w:ilvl w:val="0"/>
          <w:numId w:val="2"/>
        </w:numPr>
        <w:ind w:hanging="359" w:left="720" w:right="0"/>
      </w:pPr>
      <w:r>
        <w:rPr/>
        <w:t>Ne pas tenter de cuire une autre sorte de riz que celle indiqué</w:t>
      </w:r>
    </w:p>
    <w:p>
      <w:pPr>
        <w:pStyle w:val="style0"/>
        <w:numPr>
          <w:ilvl w:val="0"/>
          <w:numId w:val="2"/>
        </w:numPr>
        <w:ind w:hanging="359" w:left="720" w:right="0"/>
      </w:pPr>
      <w:r>
        <w:rPr/>
        <w:t>Ne pas tenter de cuire un autre aliment que du riz</w:t>
      </w:r>
    </w:p>
    <w:p>
      <w:pPr>
        <w:pStyle w:val="style0"/>
        <w:numPr>
          <w:ilvl w:val="0"/>
          <w:numId w:val="2"/>
        </w:numPr>
        <w:ind w:hanging="359" w:left="720" w:right="0"/>
      </w:pPr>
      <w:r>
        <w:rPr/>
        <w:t>Ne pas mettre le cuiseur de riz au lave-vaisselle, au micro-onde ou au four</w:t>
      </w:r>
    </w:p>
    <w:p>
      <w:pPr>
        <w:pStyle w:val="style0"/>
        <w:numPr>
          <w:ilvl w:val="0"/>
          <w:numId w:val="2"/>
        </w:numPr>
        <w:ind w:hanging="359" w:left="720" w:right="0"/>
      </w:pPr>
      <w:r>
        <w:rPr/>
        <w:t>Ne pas mettre de l’eau directement dans le cuiseur, utiliser la marmite</w:t>
      </w:r>
    </w:p>
    <w:p>
      <w:pPr>
        <w:pStyle w:val="style0"/>
        <w:ind w:hanging="359" w:left="0" w:right="0"/>
      </w:pPr>
      <w:r>
        <w:rPr/>
      </w:r>
    </w:p>
    <w:p>
      <w:pPr>
        <w:pStyle w:val="style0"/>
        <w:ind w:hanging="359" w:left="0" w:right="0"/>
      </w:pPr>
      <w:r>
        <w:rPr/>
        <w:t>·</w:t>
      </w:r>
      <w:r>
        <w:rPr>
          <w:rFonts w:ascii="Times New Roman" w:cs="Times New Roman" w:eastAsia="Times New Roman" w:hAnsi="Times New Roman"/>
          <w:sz w:val="14"/>
        </w:rPr>
        <w:t xml:space="preserve">       </w:t>
      </w:r>
      <w:r>
        <w:rPr/>
        <w:t>Préparations pour le démarrage et séquence des opérations</w:t>
      </w:r>
    </w:p>
    <w:p>
      <w:pPr>
        <w:pStyle w:val="style0"/>
        <w:numPr>
          <w:ilvl w:val="0"/>
          <w:numId w:val="2"/>
        </w:numPr>
        <w:spacing w:after="0" w:before="0" w:line="276" w:lineRule="auto"/>
        <w:ind w:hanging="359" w:left="720" w:right="0"/>
        <w:jc w:val="left"/>
      </w:pPr>
      <w:r>
        <w:rPr/>
        <w:t>Brancher le cuiseur de riz dans la prise</w:t>
      </w:r>
    </w:p>
    <w:p>
      <w:pPr>
        <w:pStyle w:val="style0"/>
        <w:numPr>
          <w:ilvl w:val="0"/>
          <w:numId w:val="2"/>
        </w:numPr>
        <w:spacing w:after="0" w:before="0" w:line="276" w:lineRule="auto"/>
        <w:ind w:hanging="359" w:left="720" w:right="0"/>
        <w:jc w:val="left"/>
      </w:pPr>
      <w:r>
        <w:rPr/>
        <w:t>Enlever la marmite du cuiseur de riz</w:t>
      </w:r>
    </w:p>
    <w:p>
      <w:pPr>
        <w:pStyle w:val="style0"/>
        <w:numPr>
          <w:ilvl w:val="0"/>
          <w:numId w:val="2"/>
        </w:numPr>
        <w:spacing w:after="0" w:before="0" w:line="276" w:lineRule="auto"/>
        <w:ind w:hanging="359" w:left="720" w:right="0"/>
        <w:jc w:val="left"/>
      </w:pPr>
      <w:r>
        <w:rPr/>
        <w:t>Verser le mélange dans la marmite du cuiseur</w:t>
      </w:r>
    </w:p>
    <w:p>
      <w:pPr>
        <w:pStyle w:val="style0"/>
        <w:numPr>
          <w:ilvl w:val="0"/>
          <w:numId w:val="2"/>
        </w:numPr>
        <w:spacing w:after="0" w:before="0" w:line="276" w:lineRule="auto"/>
        <w:ind w:hanging="359" w:left="720" w:right="0"/>
        <w:jc w:val="left"/>
      </w:pPr>
      <w:r>
        <w:rPr/>
        <w:t>Mettre la marmite sur le cuiseur de riz</w:t>
      </w:r>
    </w:p>
    <w:p>
      <w:pPr>
        <w:pStyle w:val="style0"/>
        <w:numPr>
          <w:ilvl w:val="0"/>
          <w:numId w:val="2"/>
        </w:numPr>
        <w:spacing w:after="0" w:before="0" w:line="276" w:lineRule="auto"/>
        <w:ind w:hanging="359" w:left="720" w:right="0"/>
        <w:jc w:val="left"/>
      </w:pPr>
      <w:r>
        <w:rPr/>
        <w:t>Choisir le mode de cuisson ( lent, moyen et rapide )</w:t>
      </w:r>
    </w:p>
    <w:p>
      <w:pPr>
        <w:pStyle w:val="style0"/>
        <w:numPr>
          <w:ilvl w:val="0"/>
          <w:numId w:val="2"/>
        </w:numPr>
        <w:spacing w:after="0" w:before="0" w:line="276" w:lineRule="auto"/>
        <w:ind w:hanging="359" w:left="720" w:right="0"/>
        <w:jc w:val="left"/>
      </w:pPr>
      <w:r>
        <w:rPr/>
        <w:t>Appuyer sur le bouton démarrer</w:t>
      </w:r>
    </w:p>
    <w:p>
      <w:pPr>
        <w:pStyle w:val="style0"/>
        <w:numPr>
          <w:ilvl w:val="0"/>
          <w:numId w:val="2"/>
        </w:numPr>
        <w:spacing w:after="0" w:before="0" w:line="276" w:lineRule="auto"/>
        <w:ind w:hanging="359" w:left="720" w:right="0"/>
        <w:jc w:val="left"/>
      </w:pPr>
      <w:r>
        <w:rPr/>
        <w:t>Attendre le temps indiquer</w:t>
      </w:r>
    </w:p>
    <w:p>
      <w:pPr>
        <w:pStyle w:val="style1"/>
        <w:numPr>
          <w:ilvl w:val="0"/>
          <w:numId w:val="1"/>
        </w:numPr>
        <w:spacing w:after="120" w:before="480" w:line="100" w:lineRule="atLeast"/>
        <w:ind w:hanging="0" w:left="360" w:right="0"/>
      </w:pPr>
      <w:bookmarkStart w:id="6" w:name="__RefHeading__300_1622329535"/>
      <w:bookmarkEnd w:id="6"/>
      <w:r>
        <w:rPr>
          <w:rFonts w:ascii="Arial" w:cs="Arial" w:eastAsia="Arial" w:hAnsi="Arial"/>
          <w:b/>
          <w:sz w:val="48"/>
        </w:rPr>
        <w:t>4.</w:t>
      </w:r>
      <w:r>
        <w:rPr>
          <w:rFonts w:ascii="Times New Roman" w:cs="Times New Roman" w:eastAsia="Times New Roman" w:hAnsi="Times New Roman"/>
          <w:sz w:val="14"/>
        </w:rPr>
        <w:t xml:space="preserve">    </w:t>
      </w:r>
      <w:r>
        <w:rPr>
          <w:rFonts w:ascii="Arial" w:cs="Arial" w:eastAsia="Arial" w:hAnsi="Arial"/>
          <w:b/>
          <w:sz w:val="48"/>
        </w:rPr>
        <w:t>Certification et approbations en matière de sûreté de fonctionnement</w:t>
      </w:r>
    </w:p>
    <w:p>
      <w:pPr>
        <w:pStyle w:val="style0"/>
        <w:spacing w:after="0" w:before="0" w:line="100" w:lineRule="atLeast"/>
        <w:ind w:hanging="0" w:left="0" w:right="0"/>
      </w:pPr>
      <w:r>
        <w:rPr/>
        <w:t>Il est à noter que la vente du cuiseur de riz peut être soumis à une quelconque certifications. Toute activité de certification est la responsabilité du client (ACME).</w:t>
      </w:r>
    </w:p>
    <w:p>
      <w:pPr>
        <w:pStyle w:val="style0"/>
        <w:spacing w:after="0" w:before="0" w:line="100" w:lineRule="atLeast"/>
        <w:ind w:hanging="359" w:left="0" w:right="0"/>
      </w:pPr>
      <w:r>
        <w:rPr/>
      </w:r>
    </w:p>
    <w:p>
      <w:pPr>
        <w:pStyle w:val="style0"/>
        <w:spacing w:after="0" w:before="0" w:line="100" w:lineRule="atLeast"/>
        <w:ind w:hanging="359" w:left="0" w:right="0"/>
      </w:pPr>
      <w:r>
        <w:rPr>
          <w:rFonts w:ascii="Arial" w:cs="Arial" w:eastAsia="Arial" w:hAnsi="Arial"/>
          <w:b/>
          <w:sz w:val="48"/>
        </w:rPr>
        <w:t>5.</w:t>
      </w:r>
      <w:r>
        <w:rPr>
          <w:rFonts w:ascii="Times New Roman" w:cs="Times New Roman" w:eastAsia="Times New Roman" w:hAnsi="Times New Roman"/>
          <w:sz w:val="14"/>
        </w:rPr>
        <w:t xml:space="preserve">    </w:t>
      </w:r>
      <w:r>
        <w:rPr>
          <w:rFonts w:ascii="Arial" w:cs="Arial" w:eastAsia="Arial" w:hAnsi="Arial"/>
          <w:b/>
          <w:sz w:val="48"/>
        </w:rPr>
        <w:t>Directives en matière de garantie et de remplacement</w:t>
      </w:r>
    </w:p>
    <w:p>
      <w:pPr>
        <w:pStyle w:val="style0"/>
        <w:spacing w:after="0" w:before="0" w:line="100" w:lineRule="atLeast"/>
        <w:ind w:hanging="0" w:left="0" w:right="0"/>
      </w:pPr>
      <w:r>
        <w:rPr/>
        <w:t>Le logiciel est garantie à vie, tant et aussi longtemps qu’il est utilisé dans l’environnement définie par le client lors de son développement. Il n’est pas garantie de fonctionner sur un autre environnement d’exécution que le processeur défini dans le plan de projet.</w:t>
      </w:r>
    </w:p>
    <w:p>
      <w:pPr>
        <w:pStyle w:val="style1"/>
        <w:numPr>
          <w:ilvl w:val="0"/>
          <w:numId w:val="1"/>
        </w:numPr>
        <w:spacing w:after="120" w:before="480" w:line="100" w:lineRule="atLeast"/>
        <w:ind w:hanging="0" w:left="360" w:right="0"/>
      </w:pPr>
      <w:bookmarkStart w:id="7" w:name="__RefHeading__302_1622329535"/>
      <w:bookmarkEnd w:id="7"/>
      <w:r>
        <w:rPr>
          <w:rFonts w:ascii="Arial" w:cs="Arial" w:eastAsia="Arial" w:hAnsi="Arial"/>
          <w:b/>
          <w:sz w:val="48"/>
        </w:rPr>
        <w:t>6.</w:t>
      </w:r>
      <w:r>
        <w:rPr>
          <w:rFonts w:ascii="Times New Roman" w:cs="Times New Roman" w:eastAsia="Times New Roman" w:hAnsi="Times New Roman"/>
          <w:sz w:val="14"/>
        </w:rPr>
        <w:t xml:space="preserve">    </w:t>
      </w:r>
      <w:r>
        <w:rPr>
          <w:rFonts w:ascii="Arial" w:cs="Arial" w:eastAsia="Arial" w:hAnsi="Arial"/>
          <w:b/>
          <w:sz w:val="48"/>
        </w:rPr>
        <w:t>Glossaire</w:t>
      </w:r>
    </w:p>
    <w:p>
      <w:pPr>
        <w:pStyle w:val="style0"/>
        <w:jc w:val="both"/>
      </w:pPr>
      <w:r>
        <w:rPr/>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4680"/>
        <w:gridCol w:w="4679"/>
      </w:tblGrid>
      <w:tr>
        <w:trPr>
          <w:cantSplit w:val="false"/>
        </w:trPr>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both"/>
            </w:pPr>
            <w:r>
              <w:rPr>
                <w:rFonts w:ascii="Calibri" w:cs="Calibri" w:eastAsia="Calibri" w:hAnsi="Calibri"/>
              </w:rPr>
              <w:t>Mot</w:t>
            </w:r>
          </w:p>
        </w:tc>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both"/>
            </w:pPr>
            <w:r>
              <w:rPr>
                <w:rFonts w:ascii="Calibri" w:cs="Calibri" w:eastAsia="Calibri" w:hAnsi="Calibri"/>
              </w:rPr>
              <w:t>Définition</w:t>
            </w:r>
          </w:p>
        </w:tc>
      </w:tr>
      <w:tr>
        <w:trPr>
          <w:cantSplit w:val="false"/>
        </w:trPr>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both"/>
            </w:pPr>
            <w:r>
              <w:rPr>
                <w:rFonts w:ascii="Calibri" w:cs="Calibri" w:eastAsia="Calibri" w:hAnsi="Calibri"/>
              </w:rPr>
              <w:t>Alimentation</w:t>
            </w:r>
          </w:p>
        </w:tc>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both"/>
            </w:pPr>
            <w:r>
              <w:rPr>
                <w:rFonts w:ascii="Calibri" w:cs="Calibri" w:eastAsia="Calibri" w:hAnsi="Calibri"/>
              </w:rPr>
              <w:t>Prise murale de courant servant à alimenter le cuiseur de riz.</w:t>
            </w:r>
          </w:p>
        </w:tc>
      </w:tr>
      <w:tr>
        <w:trPr>
          <w:cantSplit w:val="false"/>
        </w:trPr>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both"/>
            </w:pPr>
            <w:r>
              <w:rPr>
                <w:rFonts w:ascii="Calibri" w:cs="Calibri" w:eastAsia="Calibri" w:hAnsi="Calibri"/>
              </w:rPr>
              <w:t>Marmite</w:t>
            </w:r>
          </w:p>
        </w:tc>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jc w:val="both"/>
            </w:pPr>
            <w:r>
              <w:rPr>
                <w:rFonts w:ascii="Calibri" w:cs="Calibri" w:eastAsia="Calibri" w:hAnsi="Calibri"/>
              </w:rPr>
              <w:t>Bol contenant le mélange ( riz, eau, etc )</w:t>
            </w:r>
          </w:p>
        </w:tc>
      </w:tr>
    </w:tbl>
    <w:p>
      <w:pPr>
        <w:pStyle w:val="style0"/>
      </w:pPr>
      <w:r>
        <w:rPr/>
      </w:r>
    </w:p>
    <w:p>
      <w:pPr>
        <w:pStyle w:val="style0"/>
        <w:jc w:val="both"/>
      </w:pPr>
      <w:r>
        <w:rPr/>
      </w:r>
    </w:p>
    <w:p>
      <w:pPr>
        <w:pStyle w:val="style0"/>
      </w:pPr>
      <w:r>
        <w:rPr/>
      </w:r>
    </w:p>
    <w:sectPr>
      <w:type w:val="continuous"/>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Liberation Serif" w:cs="Lohit Hindi" w:eastAsia="Droid Sans Fallback" w:hAnsi="Liberation Serif"/>
      <w:color w:val="auto"/>
      <w:sz w:val="24"/>
      <w:szCs w:val="24"/>
      <w:lang w:bidi="hi-IN" w:eastAsia="zh-CN" w:val="en-CA"/>
    </w:rPr>
  </w:style>
  <w:style w:styleId="style1" w:type="paragraph">
    <w:name w:val="Heading 1"/>
    <w:basedOn w:val="style23"/>
    <w:next w:val="style19"/>
    <w:pPr>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3"/>
    <w:next w:val="style19"/>
    <w:pPr>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3"/>
    <w:next w:val="style19"/>
    <w:pPr>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3"/>
    <w:next w:val="style19"/>
    <w:pPr>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3"/>
    <w:next w:val="style19"/>
    <w:pPr>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3"/>
    <w:next w:val="style19"/>
    <w:pPr>
      <w:numPr>
        <w:ilvl w:val="5"/>
        <w:numId w:val="1"/>
      </w:numPr>
      <w:spacing w:after="0" w:before="160" w:line="100" w:lineRule="atLeast"/>
      <w:outlineLvl w:val="5"/>
    </w:pPr>
    <w:rPr>
      <w:rFonts w:ascii="Trebuchet MS" w:cs="Trebuchet MS" w:eastAsia="Trebuchet MS" w:hAnsi="Trebuchet MS"/>
      <w:i/>
      <w:color w:val="666666"/>
      <w:sz w:val="22"/>
    </w:rPr>
  </w:style>
  <w:style w:styleId="style15" w:type="character">
    <w:name w:val="ListLabel 1"/>
    <w:next w:val="style15"/>
    <w:rPr>
      <w:rFonts w:cs="Arial" w:eastAsia="Arial"/>
      <w:b w:val="false"/>
      <w:i w:val="false"/>
      <w:caps w:val="false"/>
      <w:smallCaps w:val="false"/>
      <w:strike w:val="false"/>
      <w:dstrike w:val="false"/>
      <w:color w:val="000000"/>
      <w:position w:val="0"/>
      <w:sz w:val="22"/>
      <w:sz w:val="22"/>
      <w:u w:val="none"/>
      <w:vertAlign w:val="baseline"/>
    </w:rPr>
  </w:style>
  <w:style w:styleId="style16" w:type="character">
    <w:name w:val="Internet Link"/>
    <w:next w:val="style16"/>
    <w:rPr>
      <w:color w:val="000080"/>
      <w:u w:val="single"/>
      <w:lang w:bidi="en-US" w:eastAsia="en-US" w:val="en-US"/>
    </w:rPr>
  </w:style>
  <w:style w:styleId="style17" w:type="character">
    <w:name w:val="Index Link"/>
    <w:next w:val="style17"/>
    <w:rPr/>
  </w:style>
  <w:style w:styleId="style18" w:type="paragraph">
    <w:name w:val="Heading"/>
    <w:basedOn w:val="style0"/>
    <w:next w:val="style19"/>
    <w:pPr>
      <w:keepNext/>
      <w:spacing w:after="120" w:before="240"/>
    </w:pPr>
    <w:rPr>
      <w:rFonts w:ascii="Liberation Sans" w:cs="Lohit Hindi"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rmal"/>
    <w:next w:val="style23"/>
    <w:pPr>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CA"/>
    </w:rPr>
  </w:style>
  <w:style w:styleId="style24" w:type="paragraph">
    <w:name w:val="Title"/>
    <w:basedOn w:val="style23"/>
    <w:next w:val="style25"/>
    <w:pPr>
      <w:spacing w:after="0" w:before="0" w:line="100" w:lineRule="atLeast"/>
      <w:jc w:val="center"/>
    </w:pPr>
    <w:rPr>
      <w:rFonts w:ascii="Trebuchet MS" w:cs="Trebuchet MS" w:eastAsia="Trebuchet MS" w:hAnsi="Trebuchet MS"/>
      <w:b/>
      <w:bCs/>
      <w:sz w:val="42"/>
      <w:szCs w:val="36"/>
    </w:rPr>
  </w:style>
  <w:style w:styleId="style25" w:type="paragraph">
    <w:name w:val="Subtitle"/>
    <w:basedOn w:val="style23"/>
    <w:next w:val="style19"/>
    <w:pPr>
      <w:spacing w:after="200" w:before="0" w:line="100" w:lineRule="atLeast"/>
      <w:jc w:val="center"/>
    </w:pPr>
    <w:rPr>
      <w:rFonts w:ascii="Trebuchet MS" w:cs="Trebuchet MS" w:eastAsia="Trebuchet MS" w:hAnsi="Trebuchet MS"/>
      <w:i/>
      <w:iCs/>
      <w:color w:val="666666"/>
      <w:sz w:val="26"/>
      <w:szCs w:val="28"/>
    </w:rPr>
  </w:style>
  <w:style w:styleId="style26" w:type="paragraph">
    <w:name w:val="Contents Heading"/>
    <w:basedOn w:val="style18"/>
    <w:next w:val="style26"/>
    <w:pPr>
      <w:suppressLineNumbers/>
      <w:ind w:hanging="0" w:left="0" w:right="0"/>
    </w:pPr>
    <w:rPr>
      <w:b/>
      <w:bCs/>
      <w:sz w:val="32"/>
      <w:szCs w:val="32"/>
    </w:rPr>
  </w:style>
  <w:style w:styleId="style27" w:type="paragraph">
    <w:name w:val="Contents 1"/>
    <w:basedOn w:val="style22"/>
    <w:next w:val="style27"/>
    <w:pPr>
      <w:tabs>
        <w:tab w:leader="dot" w:pos="9360" w:val="right"/>
      </w:tabs>
      <w:ind w:hanging="0" w:left="0" w:right="0"/>
    </w:pPr>
    <w:rPr/>
  </w:style>
  <w:style w:styleId="style28" w:type="paragraph">
    <w:name w:val="Contents 2"/>
    <w:basedOn w:val="style22"/>
    <w:next w:val="style28"/>
    <w:pPr>
      <w:tabs>
        <w:tab w:leader="dot" w:pos="9360" w:val="right"/>
      </w:tabs>
      <w:ind w:hanging="0" w:left="283"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Guide operation du produit.docx</dc:title>
</cp:coreProperties>
</file>