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media/image39.png" ContentType="image/png"/>
  <Override PartName="/word/media/image38.png" ContentType="image/png"/>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9718"/>
      </w:tblGrid>
      <w:tr>
        <w:trPr>
          <w:trHeight w:hRule="atLeast" w:val="3937"/>
          <w:cantSplit w:val="false"/>
        </w:trPr>
        <w:tc>
          <w:tcPr>
            <w:tcW w:type="dxa" w:w="9718"/>
            <w:tcBorders/>
            <w:shd w:fill="auto" w:val="clear"/>
            <w:tcMar>
              <w:top w:type="dxa" w:w="0"/>
              <w:left w:type="dxa" w:w="108"/>
              <w:bottom w:type="dxa" w:w="0"/>
              <w:right w:type="dxa" w:w="108"/>
            </w:tcMar>
          </w:tcPr>
          <w:p>
            <w:pPr>
              <w:sectPr>
                <w:footerReference r:id="rId3" w:type="first"/>
                <w:type w:val="nextPage"/>
                <w:pgSz w:h="15840" w:w="12240"/>
                <w:pgMar w:bottom="789" w:footer="732" w:gutter="0" w:header="0" w:left="1440" w:right="1440" w:top="1440"/>
                <w:pgNumType w:fmt="decimal"/>
                <w:formProt w:val="false"/>
                <w:titlePg/>
                <w:textDirection w:val="lrTb"/>
                <w:docGrid w:charSpace="4096" w:linePitch="360" w:type="default"/>
              </w:sectPr>
              <w:pStyle w:val="style56"/>
              <w:jc w:val="center"/>
            </w:pPr>
            <w:r>
              <w:rPr/>
              <w:drawing>
                <wp:inline distB="0" distL="0" distR="0" distT="0">
                  <wp:extent cx="3053715" cy="60388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053715" cy="603885"/>
                          </a:xfrm>
                          <a:prstGeom prst="rect">
                            <a:avLst/>
                          </a:prstGeom>
                          <a:noFill/>
                          <a:ln w="9525">
                            <a:noFill/>
                            <a:miter lim="800000"/>
                            <a:headEnd/>
                            <a:tailEnd/>
                          </a:ln>
                        </pic:spPr>
                      </pic:pic>
                    </a:graphicData>
                  </a:graphic>
                </wp:inline>
              </w:drawing>
            </w:r>
          </w:p>
          <w:p>
            <w:pPr>
              <w:pStyle w:val="style0"/>
            </w:pPr>
            <w:r>
              <w:rPr/>
            </w:r>
          </w:p>
          <w:p>
            <w:pPr>
              <w:pStyle w:val="style0"/>
              <w:tabs>
                <w:tab w:leader="none" w:pos="6670" w:val="left"/>
              </w:tabs>
            </w:pPr>
            <w:r>
              <w:rPr/>
              <w:tab/>
            </w:r>
          </w:p>
        </w:tc>
      </w:tr>
      <w:tr>
        <w:trPr>
          <w:trHeight w:hRule="atLeast" w:val="1968"/>
          <w:cantSplit w:val="false"/>
        </w:trPr>
        <w:tc>
          <w:tcPr>
            <w:tcW w:type="dxa" w:w="9718"/>
            <w:tcBorders>
              <w:bottom w:color="4F81BD" w:space="0" w:sz="4" w:val="single"/>
            </w:tcBorders>
            <w:shd w:fill="auto" w:val="clear"/>
            <w:tcMar>
              <w:top w:type="dxa" w:w="0"/>
              <w:left w:type="dxa" w:w="108"/>
              <w:bottom w:type="dxa" w:w="0"/>
              <w:right w:type="dxa" w:w="108"/>
            </w:tcMar>
            <w:vAlign w:val="center"/>
          </w:tcPr>
          <w:p>
            <w:pPr>
              <w:pStyle w:val="style56"/>
            </w:pPr>
            <w:r>
              <w:rPr>
                <w:rFonts w:ascii="Cambria" w:cs="" w:hAnsi="Cambria"/>
                <w:sz w:val="80"/>
                <w:szCs w:val="80"/>
              </w:rPr>
              <w:t>Rapport d'analyse des mesures</w:t>
            </w:r>
          </w:p>
        </w:tc>
      </w:tr>
      <w:tr>
        <w:trPr>
          <w:trHeight w:hRule="atLeast" w:val="985"/>
          <w:cantSplit w:val="false"/>
        </w:trPr>
        <w:tc>
          <w:tcPr>
            <w:tcW w:type="dxa" w:w="9718"/>
            <w:tcBorders>
              <w:top w:color="4F81BD" w:space="0" w:sz="4" w:val="single"/>
            </w:tcBorders>
            <w:shd w:fill="auto" w:val="clear"/>
            <w:tcMar>
              <w:top w:type="dxa" w:w="0"/>
              <w:left w:type="dxa" w:w="108"/>
              <w:bottom w:type="dxa" w:w="0"/>
              <w:right w:type="dxa" w:w="108"/>
            </w:tcMar>
            <w:vAlign w:val="center"/>
          </w:tcPr>
          <w:p>
            <w:pPr>
              <w:pStyle w:val="style56"/>
            </w:pPr>
            <w:r>
              <w:rPr>
                <w:rFonts w:ascii="Cambria" w:hAnsi="Cambria"/>
                <w:sz w:val="24"/>
              </w:rPr>
            </w:r>
          </w:p>
          <w:p>
            <w:pPr>
              <w:pStyle w:val="style56"/>
              <w:jc w:val="center"/>
            </w:pPr>
            <w:r>
              <w:rPr>
                <w:rFonts w:ascii="Cambria" w:hAnsi="Cambria"/>
                <w:sz w:val="24"/>
              </w:rPr>
              <w:t>Cuiseur de riz</w:t>
            </w:r>
          </w:p>
        </w:tc>
      </w:tr>
      <w:tr>
        <w:trPr>
          <w:trHeight w:hRule="atLeast" w:val="492"/>
          <w:cantSplit w:val="false"/>
        </w:trPr>
        <w:tc>
          <w:tcPr>
            <w:tcW w:type="dxa" w:w="9718"/>
            <w:tcBorders/>
            <w:shd w:fill="auto" w:val="clear"/>
            <w:tcMar>
              <w:top w:type="dxa" w:w="0"/>
              <w:left w:type="dxa" w:w="108"/>
              <w:bottom w:type="dxa" w:w="0"/>
              <w:right w:type="dxa" w:w="108"/>
            </w:tcMar>
            <w:vAlign w:val="center"/>
          </w:tcPr>
          <w:p>
            <w:pPr>
              <w:pStyle w:val="style56"/>
              <w:jc w:val="center"/>
            </w:pPr>
            <w:r>
              <w:rPr>
                <w:rFonts w:ascii="Cambria" w:cs="" w:hAnsi="Cambria"/>
                <w:sz w:val="24"/>
                <w:szCs w:val="44"/>
              </w:rPr>
              <w:t xml:space="preserve">Version </w:t>
            </w:r>
            <w:r>
              <w:rPr>
                <w:rFonts w:ascii="Cambria" w:cs="" w:hAnsi="Cambria"/>
                <w:sz w:val="24"/>
                <w:szCs w:val="44"/>
              </w:rPr>
              <w:t>1</w:t>
            </w:r>
            <w:r>
              <w:rPr>
                <w:rFonts w:ascii="Cambria" w:cs="" w:hAnsi="Cambria"/>
                <w:sz w:val="24"/>
                <w:szCs w:val="44"/>
              </w:rPr>
              <w:t>.</w:t>
            </w:r>
            <w:r>
              <w:rPr>
                <w:rFonts w:ascii="Cambria" w:cs="" w:hAnsi="Cambria"/>
                <w:sz w:val="24"/>
                <w:szCs w:val="44"/>
              </w:rPr>
              <w:t>2</w:t>
            </w:r>
          </w:p>
          <w:p>
            <w:pPr>
              <w:pStyle w:val="style56"/>
              <w:jc w:val="center"/>
            </w:pPr>
            <w:r>
              <w:rPr/>
            </w:r>
          </w:p>
          <w:p>
            <w:pPr>
              <w:pStyle w:val="style56"/>
              <w:jc w:val="center"/>
            </w:pPr>
            <w:r>
              <w:rPr/>
            </w:r>
          </w:p>
          <w:p>
            <w:pPr>
              <w:pStyle w:val="style56"/>
              <w:jc w:val="center"/>
            </w:pPr>
            <w:r>
              <w:rPr/>
            </w:r>
          </w:p>
          <w:p>
            <w:pPr>
              <w:pStyle w:val="style56"/>
              <w:jc w:val="center"/>
            </w:pPr>
            <w:r>
              <w:rPr/>
            </w:r>
          </w:p>
          <w:p>
            <w:pPr>
              <w:pStyle w:val="style56"/>
              <w:jc w:val="center"/>
            </w:pPr>
            <w:r>
              <w:rPr/>
            </w:r>
          </w:p>
          <w:p>
            <w:pPr>
              <w:pStyle w:val="style56"/>
              <w:jc w:val="center"/>
            </w:pPr>
            <w:r>
              <w:rPr/>
            </w:r>
          </w:p>
          <w:p>
            <w:pPr>
              <w:pStyle w:val="style56"/>
              <w:jc w:val="center"/>
            </w:pPr>
            <w:r>
              <w:rPr/>
            </w:r>
          </w:p>
          <w:p>
            <w:pPr>
              <w:pStyle w:val="style56"/>
            </w:pPr>
            <w:r>
              <w:rPr/>
            </w:r>
          </w:p>
        </w:tc>
      </w:tr>
      <w:tr>
        <w:trPr>
          <w:trHeight w:hRule="atLeast" w:val="492"/>
          <w:cantSplit w:val="false"/>
        </w:trPr>
        <w:tc>
          <w:tcPr>
            <w:tcW w:type="dxa" w:w="9718"/>
            <w:tcBorders/>
            <w:shd w:fill="auto" w:val="clear"/>
            <w:tcMar>
              <w:top w:type="dxa" w:w="0"/>
              <w:left w:type="dxa" w:w="108"/>
              <w:bottom w:type="dxa" w:w="0"/>
              <w:right w:type="dxa" w:w="108"/>
            </w:tcMar>
            <w:vAlign w:val="center"/>
          </w:tcPr>
          <w:p>
            <w:pPr>
              <w:pStyle w:val="style56"/>
              <w:jc w:val="center"/>
            </w:pPr>
            <w:r>
              <w:rPr>
                <w:b/>
                <w:bCs/>
              </w:rPr>
              <w:t>Israel Halle</w:t>
            </w:r>
          </w:p>
          <w:p>
            <w:pPr>
              <w:pStyle w:val="style56"/>
              <w:jc w:val="center"/>
            </w:pPr>
            <w:r>
              <w:rPr>
                <w:b/>
                <w:bCs/>
              </w:rPr>
              <w:t>Mathieu Guérin</w:t>
            </w:r>
          </w:p>
          <w:p>
            <w:pPr>
              <w:pStyle w:val="style56"/>
              <w:jc w:val="center"/>
            </w:pPr>
            <w:r>
              <w:rPr>
                <w:b/>
                <w:bCs/>
              </w:rPr>
              <w:t>Martin Grenier</w:t>
            </w:r>
          </w:p>
          <w:p>
            <w:pPr>
              <w:pStyle w:val="style56"/>
              <w:jc w:val="center"/>
            </w:pPr>
            <w:r>
              <w:rPr>
                <w:b/>
                <w:bCs/>
              </w:rPr>
              <w:t>René-Alexandre Giroux</w:t>
            </w:r>
          </w:p>
        </w:tc>
      </w:tr>
      <w:tr>
        <w:trPr>
          <w:trHeight w:hRule="atLeast" w:val="492"/>
          <w:cantSplit w:val="false"/>
        </w:trPr>
        <w:tc>
          <w:tcPr>
            <w:tcW w:type="dxa" w:w="9718"/>
            <w:tcBorders/>
            <w:shd w:fill="auto" w:val="clear"/>
            <w:tcMar>
              <w:top w:type="dxa" w:w="0"/>
              <w:left w:type="dxa" w:w="108"/>
              <w:bottom w:type="dxa" w:w="0"/>
              <w:right w:type="dxa" w:w="108"/>
            </w:tcMar>
            <w:vAlign w:val="center"/>
          </w:tcPr>
          <w:p>
            <w:pPr>
              <w:pStyle w:val="style56"/>
              <w:jc w:val="center"/>
            </w:pPr>
            <w:r>
              <w:rPr>
                <w:b/>
                <w:bCs/>
              </w:rPr>
              <w:t>24</w:t>
            </w:r>
            <w:r>
              <w:rPr>
                <w:b/>
                <w:bCs/>
              </w:rPr>
              <w:t>/03/201</w:t>
            </w:r>
            <w:r>
              <w:rPr>
                <w:b/>
                <w:bCs/>
              </w:rPr>
              <w:t>3</w:t>
            </w:r>
          </w:p>
        </w:tc>
      </w:tr>
    </w:tbl>
    <w:p>
      <w:pPr>
        <w:pStyle w:val="style0"/>
      </w:pPr>
      <w:r>
        <w:rPr/>
      </w:r>
    </w:p>
    <w:p>
      <w:pPr>
        <w:pStyle w:val="style0"/>
      </w:pPr>
      <w:r>
        <w:rPr/>
      </w:r>
    </w:p>
    <w:tbl>
      <w:tblPr>
        <w:jc w:val="left"/>
        <w:tblInd w:type="dxa" w:w="-108"/>
        <w:tblBorders/>
      </w:tblPr>
      <w:tblGrid>
        <w:gridCol w:w="9576"/>
      </w:tblGrid>
      <w:tr>
        <w:trPr>
          <w:cantSplit w:val="false"/>
        </w:trPr>
        <w:tc>
          <w:tcPr>
            <w:tcW w:type="dxa" w:w="9576"/>
            <w:tcBorders/>
            <w:shd w:fill="auto" w:val="clear"/>
            <w:tcMar>
              <w:top w:type="dxa" w:w="0"/>
              <w:left w:type="dxa" w:w="108"/>
              <w:bottom w:type="dxa" w:w="0"/>
              <w:right w:type="dxa" w:w="108"/>
            </w:tcMar>
          </w:tcPr>
          <w:p>
            <w:pPr>
              <w:pStyle w:val="style56"/>
            </w:pPr>
            <w:r>
              <w:rPr>
                <w:i/>
              </w:rPr>
              <w:t xml:space="preserve">Le document présente une analyse des mesures collectées ainsi que des recommendations. </w:t>
            </w:r>
          </w:p>
        </w:tc>
      </w:tr>
    </w:tbl>
    <w:p>
      <w:pPr>
        <w:pStyle w:val="style0"/>
      </w:pPr>
      <w:r>
        <w:rPr/>
      </w:r>
    </w:p>
    <w:p>
      <w:pPr>
        <w:pStyle w:val="style0"/>
        <w:jc w:val="center"/>
      </w:pPr>
      <w:r>
        <w:rPr/>
      </w:r>
    </w:p>
    <w:p>
      <w:pPr>
        <w:pStyle w:val="style0"/>
        <w:pageBreakBefore/>
        <w:jc w:val="center"/>
      </w:pPr>
      <w:r>
        <w:rPr>
          <w:rFonts w:ascii="Cambria" w:hAnsi="Cambria"/>
          <w:b/>
          <w:sz w:val="28"/>
        </w:rPr>
        <w:t xml:space="preserve"> </w:t>
      </w:r>
      <w:r>
        <w:rPr>
          <w:rFonts w:ascii="Cambria" w:hAnsi="Cambria"/>
          <w:b/>
          <w:sz w:val="28"/>
        </w:rPr>
        <w:t>Historique des révisions</w:t>
      </w:r>
    </w:p>
    <w:tbl>
      <w:tblPr>
        <w:jc w:val="left"/>
        <w:tblInd w:type="dxa" w:w="-108"/>
        <w:tblBorders>
          <w:top w:color="00000A" w:space="0" w:sz="6" w:val="single"/>
          <w:left w:color="00000A" w:space="0" w:sz="6" w:val="single"/>
          <w:bottom w:color="00000A" w:space="0" w:sz="6" w:val="single"/>
          <w:right w:color="00000A" w:space="0" w:sz="6" w:val="single"/>
        </w:tblBorders>
      </w:tblPr>
      <w:tblGrid>
        <w:gridCol w:w="2303"/>
        <w:gridCol w:w="1152"/>
        <w:gridCol w:w="3744"/>
        <w:gridCol w:w="2304"/>
      </w:tblGrid>
      <w:tr>
        <w:trPr>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jc w:val="center"/>
            </w:pPr>
            <w:r>
              <w:rPr>
                <w:b/>
                <w:lang w:val="fr-CA"/>
              </w:rPr>
              <w:t>Date</w:t>
            </w:r>
          </w:p>
          <w:p>
            <w:pPr>
              <w:pStyle w:val="style60"/>
              <w:spacing w:after="120" w:before="0"/>
              <w:contextualSpacing w:val="false"/>
              <w:jc w:val="center"/>
            </w:pPr>
            <w:r>
              <w:rPr>
                <w:lang w:val="fr-CA"/>
              </w:rPr>
              <w:t>(jj-mm-aaaa)</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jc w:val="center"/>
            </w:pPr>
            <w:r>
              <w:rPr>
                <w:b/>
                <w:lang w:val="fr-CA"/>
              </w:rPr>
              <w:t>Version</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jc w:val="center"/>
            </w:pPr>
            <w:r>
              <w:rPr>
                <w:b/>
                <w:lang w:val="fr-CA"/>
              </w:rPr>
              <w:t>Description</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jc w:val="center"/>
            </w:pPr>
            <w:r>
              <w:rPr>
                <w:b/>
                <w:lang w:val="fr-CA"/>
              </w:rPr>
              <w:t>Auteur</w:t>
            </w:r>
          </w:p>
        </w:tc>
      </w:tr>
      <w:tr>
        <w:trPr>
          <w:trHeight w:hRule="atLeast" w:val="709"/>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11-03-2013</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1.0</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Version initiale</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René-Alexandre Giroux</w:t>
            </w:r>
          </w:p>
        </w:tc>
      </w:tr>
      <w:tr>
        <w:trPr>
          <w:trHeight w:hRule="atLeast" w:val="709"/>
          <w:cantSplit w:val="false"/>
        </w:trPr>
        <w:tc>
          <w:tcPr>
            <w:tcW w:type="dxa" w:w="2303"/>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11-03-2013</w:t>
            </w:r>
          </w:p>
        </w:tc>
        <w:tc>
          <w:tcPr>
            <w:tcW w:type="dxa" w:w="1152"/>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1.1</w:t>
            </w:r>
          </w:p>
        </w:tc>
        <w:tc>
          <w:tcPr>
            <w:tcW w:type="dxa" w:w="374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Ajout section 2</w:t>
            </w:r>
          </w:p>
        </w:tc>
        <w:tc>
          <w:tcPr>
            <w:tcW w:type="dxa" w:w="2304"/>
            <w:tcBorders>
              <w:top w:color="00000A" w:space="0" w:sz="6" w:val="single"/>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Martin Grenier</w:t>
            </w:r>
          </w:p>
        </w:tc>
      </w:tr>
      <w:tr>
        <w:trPr>
          <w:trHeight w:hRule="atLeast" w:val="709"/>
          <w:cantSplit w:val="false"/>
        </w:trPr>
        <w:tc>
          <w:tcPr>
            <w:tcW w:type="dxa" w:w="2303"/>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24-03-2013</w:t>
            </w:r>
          </w:p>
        </w:tc>
        <w:tc>
          <w:tcPr>
            <w:tcW w:type="dxa" w:w="1152"/>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1.2</w:t>
            </w:r>
          </w:p>
        </w:tc>
        <w:tc>
          <w:tcPr>
            <w:tcW w:type="dxa" w:w="3744"/>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Révision</w:t>
            </w:r>
          </w:p>
        </w:tc>
        <w:tc>
          <w:tcPr>
            <w:tcW w:type="dxa" w:w="2304"/>
            <w:tcBorders>
              <w:left w:color="00000A" w:space="0" w:sz="6" w:val="single"/>
              <w:bottom w:color="00000A" w:space="0" w:sz="6" w:val="single"/>
              <w:right w:color="00000A" w:space="0" w:sz="6" w:val="single"/>
            </w:tcBorders>
            <w:shd w:fill="auto" w:val="clear"/>
            <w:tcMar>
              <w:top w:type="dxa" w:w="0"/>
              <w:left w:type="dxa" w:w="108"/>
              <w:bottom w:type="dxa" w:w="0"/>
              <w:right w:type="dxa" w:w="108"/>
            </w:tcMar>
          </w:tcPr>
          <w:p>
            <w:pPr>
              <w:pStyle w:val="style60"/>
              <w:spacing w:after="120" w:before="0"/>
              <w:contextualSpacing w:val="false"/>
            </w:pPr>
            <w:r>
              <w:rPr>
                <w:lang w:val="fr-CA"/>
              </w:rPr>
              <w:t>Israël Hallé</w:t>
            </w:r>
          </w:p>
        </w:tc>
      </w:tr>
    </w:tbl>
    <w:p>
      <w:pPr>
        <w:pStyle w:val="style0"/>
      </w:pPr>
      <w:r>
        <w:rPr>
          <w:sz w:val="20"/>
          <w:szCs w:val="20"/>
          <w:lang w:eastAsia="en-US"/>
        </w:rPr>
      </w:r>
    </w:p>
    <w:p>
      <w:pPr>
        <w:pStyle w:val="style0"/>
      </w:pPr>
      <w:r>
        <w:rPr/>
      </w:r>
    </w:p>
    <w:p>
      <w:pPr>
        <w:pStyle w:val="style66"/>
        <w:pageBreakBefore/>
        <w:jc w:val="center"/>
      </w:pPr>
      <w:r>
        <w:rPr/>
        <w:t>Table des matières</w:t>
      </w:r>
    </w:p>
    <w:p>
      <w:pPr>
        <w:pStyle w:val="style0"/>
      </w:pPr>
      <w:r>
        <w:rPr>
          <w:lang w:bidi="en-US"/>
        </w:rPr>
      </w:r>
    </w:p>
    <w:p>
      <w:pPr>
        <w:sectPr>
          <w:footerReference r:id="rId4" w:type="first"/>
          <w:type w:val="nextPage"/>
          <w:pgSz w:h="15840" w:w="12240"/>
          <w:pgMar w:bottom="789" w:footer="732" w:gutter="0" w:header="0" w:left="1440" w:right="1440" w:top="1440"/>
          <w:pgNumType w:fmt="decimal"/>
          <w:formProt w:val="false"/>
          <w:titlePg/>
          <w:textDirection w:val="lrTb"/>
          <w:docGrid w:charSpace="4096" w:linePitch="360" w:type="default"/>
        </w:sectPr>
      </w:pPr>
    </w:p>
    <w:p>
      <w:pPr>
        <w:sectPr>
          <w:type w:val="continuous"/>
          <w:pgSz w:h="15840" w:w="12240"/>
          <w:pgMar w:bottom="1440" w:footer="708" w:gutter="0" w:header="708" w:left="1440" w:right="1440" w:top="1440"/>
          <w:formProt/>
          <w:textDirection w:val="lrTb"/>
          <w:docGrid w:charSpace="4096" w:linePitch="360" w:type="default"/>
        </w:sectPr>
        <w:pStyle w:val="style70"/>
        <w:tabs>
          <w:tab w:leader="dot" w:pos="9360" w:val="right"/>
        </w:tabs>
      </w:pPr>
      <w:r>
        <w:fldChar w:fldCharType="begin"/>
      </w:r>
      <w:r>
        <w:instrText> TOC </w:instrText>
      </w:r>
      <w:r>
        <w:fldChar w:fldCharType="separate"/>
      </w:r>
      <w:hyperlink w:anchor="__RefHeading__582_717164173">
        <w:r>
          <w:rPr>
            <w:rStyle w:val="style49"/>
          </w:rPr>
          <w:t>1. Introduction</w:t>
          <w:tab/>
          <w:t>4</w:t>
        </w:r>
      </w:hyperlink>
    </w:p>
    <w:p>
      <w:pPr>
        <w:pStyle w:val="style70"/>
        <w:tabs>
          <w:tab w:leader="dot" w:pos="9360" w:val="right"/>
        </w:tabs>
      </w:pPr>
      <w:hyperlink w:anchor="__RefHeading__584_717164173">
        <w:r>
          <w:rPr>
            <w:rStyle w:val="style49"/>
          </w:rPr>
          <w:t>2. Liste des mesures et analyse</w:t>
          <w:tab/>
          <w:t>4</w:t>
        </w:r>
      </w:hyperlink>
    </w:p>
    <w:p>
      <w:pPr>
        <w:pStyle w:val="style71"/>
        <w:tabs>
          <w:tab w:leader="dot" w:pos="9580" w:val="right"/>
        </w:tabs>
      </w:pPr>
      <w:hyperlink w:anchor="__RefHeading__586_717164173">
        <w:r>
          <w:rPr>
            <w:rStyle w:val="style49"/>
          </w:rPr>
          <w:t>2.1 Effort de réalisation</w:t>
          <w:tab/>
          <w:t>4</w:t>
        </w:r>
      </w:hyperlink>
    </w:p>
    <w:p>
      <w:pPr>
        <w:pStyle w:val="style71"/>
        <w:tabs>
          <w:tab w:leader="dot" w:pos="9580" w:val="right"/>
        </w:tabs>
      </w:pPr>
      <w:hyperlink w:anchor="__RefHeading__588_717164173">
        <w:r>
          <w:rPr>
            <w:rStyle w:val="style49"/>
          </w:rPr>
          <w:t>2.2 Effort d’évaluation ou de détection</w:t>
          <w:tab/>
          <w:t>4</w:t>
        </w:r>
      </w:hyperlink>
    </w:p>
    <w:p>
      <w:pPr>
        <w:pStyle w:val="style71"/>
        <w:tabs>
          <w:tab w:leader="dot" w:pos="9580" w:val="right"/>
        </w:tabs>
      </w:pPr>
      <w:hyperlink w:anchor="__RefHeading__7766_717164173">
        <w:r>
          <w:rPr>
            <w:rStyle w:val="style49"/>
          </w:rPr>
          <w:t>2.3 Effort de défaillance</w:t>
          <w:tab/>
          <w:t>4</w:t>
        </w:r>
      </w:hyperlink>
    </w:p>
    <w:p>
      <w:pPr>
        <w:pStyle w:val="style71"/>
        <w:tabs>
          <w:tab w:leader="dot" w:pos="9580" w:val="right"/>
        </w:tabs>
      </w:pPr>
      <w:hyperlink w:anchor="__RefHeading__7768_717164173">
        <w:r>
          <w:rPr>
            <w:rStyle w:val="style49"/>
          </w:rPr>
          <w:t>2.4 Effort de prévention</w:t>
          <w:tab/>
          <w:t>4</w:t>
        </w:r>
      </w:hyperlink>
    </w:p>
    <w:p>
      <w:pPr>
        <w:pStyle w:val="style70"/>
        <w:tabs>
          <w:tab w:leader="dot" w:pos="9360" w:val="right"/>
        </w:tabs>
      </w:pPr>
      <w:hyperlink w:anchor="__RefHeading__7770_717164173">
        <w:r>
          <w:rPr>
            <w:rStyle w:val="style49"/>
          </w:rPr>
          <w:t>3. Recommandations</w:t>
          <w:tab/>
          <w:t>5</w:t>
        </w:r>
      </w:hyperlink>
    </w:p>
    <w:p>
      <w:pPr>
        <w:pStyle w:val="style70"/>
        <w:tabs>
          <w:tab w:leader="dot" w:pos="9360" w:val="right"/>
        </w:tabs>
      </w:pPr>
      <w:hyperlink w:anchor="__RefHeading__13232_717164173">
        <w:r>
          <w:rPr>
            <w:rStyle w:val="style49"/>
          </w:rPr>
          <w:t>4. Analyse des données du coût de la qualité</w:t>
          <w:tab/>
          <w:t>5</w:t>
        </w:r>
      </w:hyperlink>
      <w:r>
        <w:fldChar w:fldCharType="end"/>
      </w:r>
    </w:p>
    <w:p>
      <w:pPr>
        <w:sectPr>
          <w:headerReference r:id="rId5" w:type="default"/>
          <w:footerReference r:id="rId6" w:type="default"/>
          <w:type w:val="nextPage"/>
          <v:line from="0pt,4.9pt" id="shape_0" style="position:absolute" to="469.55pt,4.9pt">
            <v:stroke color="#4579b8" joinstyle="round"/>
            <v:fill detectmouseclick="t"/>
          </v:line>
          <w:pgSz w:h="15840" w:w="12240"/>
          <w:pgMar w:bottom="1440" w:footer="708" w:gutter="0" w:header="708" w:left="1440" w:right="1440" w:top="1440"/>
          <w:pgNumType w:fmt="decimal"/>
          <w:formProt w:val="false"/>
          <w:textDirection w:val="lrTb"/>
          <w:docGrid w:charSpace="4096" w:linePitch="360" w:type="default"/>
        </w:sectPr>
      </w:pPr>
    </w:p>
    <w:p>
      <w:pPr>
        <w:pStyle w:val="style0"/>
      </w:pPr>
      <w:hyperlink w:anchor="_Toc343852372">
        <w:r>
          <w:rPr/>
        </w:r>
      </w:hyperlink>
    </w:p>
    <w:p>
      <w:pPr>
        <w:pStyle w:val="style0"/>
      </w:pPr>
      <w:r>
        <w:rPr/>
      </w:r>
    </w:p>
    <w:p>
      <w:pPr>
        <w:pStyle w:val="style1"/>
        <w:pageBreakBefore/>
      </w:pPr>
      <w:r>
        <w:rPr/>
      </w:r>
    </w:p>
    <w:p>
      <w:pPr>
        <w:pStyle w:val="style1"/>
      </w:pPr>
      <w:bookmarkStart w:id="0" w:name="__RefHeading__582_717164173"/>
      <w:bookmarkStart w:id="1" w:name="_Toc343852372"/>
      <w:bookmarkEnd w:id="0"/>
      <w:bookmarkEnd w:id="1"/>
      <w:r>
        <w:rPr/>
        <w:t>1. Introduction</w:t>
      </w:r>
    </w:p>
    <w:p>
      <w:pPr>
        <w:pStyle w:val="style0"/>
      </w:pPr>
      <w:r>
        <w:rPr/>
        <w:t>Ce document présente une analyse et une description des mesures collectées lors de ce projet ainsi que des recommandations pour améliorer la performance dans des projets futurs.</w:t>
      </w:r>
    </w:p>
    <w:p>
      <w:pPr>
        <w:pStyle w:val="style1"/>
      </w:pPr>
      <w:bookmarkStart w:id="2" w:name="__RefHeading__584_717164173"/>
      <w:bookmarkStart w:id="3" w:name="_Toc343852373"/>
      <w:bookmarkEnd w:id="2"/>
      <w:bookmarkEnd w:id="3"/>
      <w:r>
        <w:rPr/>
        <w:t>2. Liste des mesures et analyse</w:t>
      </w:r>
    </w:p>
    <w:p>
      <w:pPr>
        <w:pStyle w:val="style2"/>
        <w:numPr>
          <w:ilvl w:val="1"/>
          <w:numId w:val="1"/>
        </w:numPr>
      </w:pPr>
      <w:bookmarkStart w:id="4" w:name="__RefHeading__586_717164173"/>
      <w:bookmarkStart w:id="5" w:name="_Toc343852374"/>
      <w:bookmarkEnd w:id="4"/>
      <w:r>
        <w:rPr/>
        <w:t xml:space="preserve">2.1 </w:t>
      </w:r>
      <w:bookmarkEnd w:id="5"/>
      <w:r>
        <w:rPr/>
        <w:t>Effort de réalisation</w:t>
      </w:r>
    </w:p>
    <w:p>
      <w:pPr>
        <w:pStyle w:val="style61"/>
        <w:numPr>
          <w:ilvl w:val="0"/>
          <w:numId w:val="2"/>
        </w:numPr>
      </w:pPr>
      <w:r>
        <w:rPr/>
        <w:t xml:space="preserve">Les efforts de réalisation incluent </w:t>
      </w:r>
      <w:r>
        <w:rPr/>
        <w:t>tous les efforts mis sur la réalisation des différentes phases du projet.</w:t>
      </w:r>
    </w:p>
    <w:p>
      <w:pPr>
        <w:pStyle w:val="style61"/>
        <w:numPr>
          <w:ilvl w:val="0"/>
          <w:numId w:val="2"/>
        </w:numPr>
      </w:pPr>
      <w:r>
        <w:rPr/>
        <w:t>La réalisation compte toutes les heures prévues sous le contrat.</w:t>
      </w:r>
    </w:p>
    <w:p>
      <w:pPr>
        <w:pStyle w:val="style61"/>
        <w:numPr>
          <w:ilvl w:val="0"/>
          <w:numId w:val="2"/>
        </w:numPr>
      </w:pPr>
      <w:r>
        <w:rPr/>
        <w:t>Jusqu’à présent, 40 heures ont été mises à la réalisation du projet.</w:t>
      </w:r>
    </w:p>
    <w:p>
      <w:pPr>
        <w:pStyle w:val="style2"/>
        <w:numPr>
          <w:ilvl w:val="1"/>
          <w:numId w:val="1"/>
        </w:numPr>
      </w:pPr>
      <w:bookmarkStart w:id="6" w:name="__RefHeading__588_717164173"/>
      <w:bookmarkStart w:id="7" w:name="_Toc343852375"/>
      <w:bookmarkEnd w:id="6"/>
      <w:r>
        <w:rPr/>
        <w:t xml:space="preserve">2.2 </w:t>
      </w:r>
      <w:bookmarkEnd w:id="7"/>
      <w:r>
        <w:rPr/>
        <w:t>Effort d’évaluation ou de détection</w:t>
      </w:r>
    </w:p>
    <w:p>
      <w:pPr>
        <w:pStyle w:val="style61"/>
        <w:numPr>
          <w:ilvl w:val="0"/>
          <w:numId w:val="2"/>
        </w:numPr>
      </w:pPr>
      <w:r>
        <w:rPr/>
        <w:t>Ces efforts comprennent tous les audits réalisés depuis le début du projet ainsi que les walkt</w:t>
      </w:r>
      <w:r>
        <w:rPr/>
        <w:t>h</w:t>
      </w:r>
      <w:r>
        <w:rPr/>
        <w:t>rough et les revues.</w:t>
      </w:r>
    </w:p>
    <w:p>
      <w:pPr>
        <w:pStyle w:val="style61"/>
        <w:numPr>
          <w:ilvl w:val="0"/>
          <w:numId w:val="2"/>
        </w:numPr>
      </w:pPr>
      <w:r>
        <w:rPr/>
        <w:t>Tout effort de détection d’erreur, de test et de révision est compris ici.</w:t>
      </w:r>
    </w:p>
    <w:p>
      <w:pPr>
        <w:pStyle w:val="style61"/>
        <w:numPr>
          <w:ilvl w:val="0"/>
          <w:numId w:val="2"/>
        </w:numPr>
      </w:pPr>
      <w:r>
        <w:rPr/>
        <w:t>13 heures ont été mises à l’évaluation et détection. Nous prenons environ 1 heure par semaine pour réviser les artefacts produits.</w:t>
      </w:r>
    </w:p>
    <w:p>
      <w:pPr>
        <w:pStyle w:val="style2"/>
        <w:numPr>
          <w:ilvl w:val="1"/>
          <w:numId w:val="1"/>
        </w:numPr>
      </w:pPr>
      <w:bookmarkStart w:id="8" w:name="__RefHeading__7766_717164173"/>
      <w:bookmarkEnd w:id="8"/>
      <w:r>
        <w:rPr/>
        <w:t>2.3 Effort de défaillance</w:t>
      </w:r>
    </w:p>
    <w:p>
      <w:pPr>
        <w:pStyle w:val="style61"/>
        <w:numPr>
          <w:ilvl w:val="0"/>
          <w:numId w:val="3"/>
        </w:numPr>
      </w:pPr>
      <w:r>
        <w:rPr/>
        <w:t>Cet effort comprend les erreurs trouvées pendant le projet et que nous avons corrigées.</w:t>
      </w:r>
    </w:p>
    <w:p>
      <w:pPr>
        <w:pStyle w:val="style61"/>
        <w:numPr>
          <w:ilvl w:val="0"/>
          <w:numId w:val="3"/>
        </w:numPr>
      </w:pPr>
      <w:r>
        <w:rPr/>
        <w:t>9 heures ont été investies à la correction des erreurs trouvées.</w:t>
      </w:r>
    </w:p>
    <w:p>
      <w:pPr>
        <w:pStyle w:val="style2"/>
        <w:numPr>
          <w:ilvl w:val="1"/>
          <w:numId w:val="1"/>
        </w:numPr>
      </w:pPr>
      <w:bookmarkStart w:id="9" w:name="__RefHeading__7768_717164173"/>
      <w:bookmarkEnd w:id="9"/>
      <w:r>
        <w:rPr/>
        <w:t>2.4 Effort de prévention</w:t>
      </w:r>
    </w:p>
    <w:p>
      <w:pPr>
        <w:pStyle w:val="style61"/>
        <w:numPr>
          <w:ilvl w:val="0"/>
          <w:numId w:val="4"/>
        </w:numPr>
      </w:pPr>
      <w:r>
        <w:rPr/>
        <w:t>Cet effort comprend toutes les heures mises sur la compréhension des normes, l’assurance qualité, la gestion des erreurs.</w:t>
      </w:r>
    </w:p>
    <w:p>
      <w:pPr>
        <w:pStyle w:val="style61"/>
        <w:numPr>
          <w:ilvl w:val="0"/>
          <w:numId w:val="4"/>
        </w:numPr>
      </w:pPr>
      <w:r>
        <w:rPr/>
        <w:t>12 heures ont été mises à l’effort de prévention.</w:t>
      </w:r>
    </w:p>
    <w:p>
      <w:pPr>
        <w:pStyle w:val="style1"/>
      </w:pPr>
      <w:bookmarkStart w:id="10" w:name="__RefHeading__590_717164173"/>
      <w:bookmarkStart w:id="11" w:name="_Toc343852376"/>
      <w:bookmarkStart w:id="12" w:name="__RefHeading__590_717164173"/>
      <w:bookmarkStart w:id="13" w:name="_Toc343852376"/>
      <w:bookmarkEnd w:id="12"/>
      <w:bookmarkEnd w:id="13"/>
      <w:r>
        <w:rPr/>
      </w:r>
    </w:p>
    <w:p>
      <w:pPr>
        <w:pStyle w:val="style0"/>
        <w:jc w:val="both"/>
      </w:pPr>
      <w:r>
        <w:rPr/>
      </w:r>
    </w:p>
    <w:p>
      <w:pPr>
        <w:pStyle w:val="style1"/>
      </w:pPr>
      <w:r>
        <w:rPr/>
      </w:r>
    </w:p>
    <w:p>
      <w:pPr>
        <w:pStyle w:val="style1"/>
        <w:pageBreakBefore/>
      </w:pPr>
      <w:bookmarkStart w:id="14" w:name="__RefHeading__7770_717164173"/>
      <w:bookmarkEnd w:id="14"/>
      <w:r>
        <w:rPr/>
        <w:t>3. Recommandations</w:t>
      </w:r>
    </w:p>
    <w:p>
      <w:pPr>
        <w:pStyle w:val="style52"/>
      </w:pPr>
      <w:r>
        <w:rPr>
          <w:rFonts w:ascii="Calibri" w:hAnsi="Calibri"/>
          <w:sz w:val="22"/>
          <w:szCs w:val="22"/>
        </w:rPr>
        <w:t>Lors des estimations de temps, il faudrait évaluer les différentes tâches avec les compétences de chaque ressource dans le projet. Ceci dans le but d’être le plus précis dans chacune de nos mesures.</w:t>
      </w:r>
    </w:p>
    <w:p>
      <w:pPr>
        <w:pStyle w:val="style52"/>
      </w:pPr>
      <w:r>
        <w:rPr>
          <w:rFonts w:ascii="Calibri" w:hAnsi="Calibri"/>
          <w:sz w:val="22"/>
          <w:szCs w:val="22"/>
        </w:rPr>
        <w:t>Étant donnée la petite taille de notre équipe, il serait peut-être pratique d’avoir moins de documents à remplir lors de revue. La plupart des revues peuvent pratiquer de manière informelle quitte à enregistrer la revue en une seule ligne dans un document. Ainsi, plusieurs heures pourraient être sauvées dans la détection en gardant une efficacité équivalente.</w:t>
      </w:r>
    </w:p>
    <w:p>
      <w:pPr>
        <w:pStyle w:val="style1"/>
      </w:pPr>
      <w:bookmarkStart w:id="15" w:name="__RefHeading__13232_717164173"/>
      <w:bookmarkStart w:id="16" w:name="internal-source-marker_0.4405906377360225"/>
      <w:bookmarkEnd w:id="15"/>
      <w:bookmarkEnd w:id="16"/>
      <w:r>
        <w:rPr/>
        <w:t xml:space="preserve">4. </w:t>
      </w:r>
      <w:r>
        <w:rPr/>
        <w:t>Analyse des données du coût de la qualité</w:t>
      </w:r>
    </w:p>
    <w:p>
      <w:pPr>
        <w:pStyle w:val="style52"/>
        <w:widowControl/>
      </w:pPr>
      <w:r>
        <w:rPr>
          <w:rFonts w:ascii="Calibri" w:hAnsi="Calibri"/>
          <w:color w:val="auto"/>
          <w:sz w:val="22"/>
          <w:szCs w:val="22"/>
        </w:rPr>
        <w:t xml:space="preserve">Le coût de la qualité est le coût </w:t>
      </w:r>
      <w:r>
        <w:rPr>
          <w:rFonts w:ascii="Calibri" w:hAnsi="Calibri"/>
          <w:color w:val="auto"/>
          <w:sz w:val="22"/>
          <w:szCs w:val="22"/>
        </w:rPr>
        <w:t>total</w:t>
      </w:r>
      <w:r>
        <w:rPr>
          <w:rFonts w:ascii="Calibri" w:hAnsi="Calibri"/>
          <w:color w:val="auto"/>
          <w:sz w:val="22"/>
          <w:szCs w:val="22"/>
        </w:rPr>
        <w:t xml:space="preserve"> sans compter les coûts de réalisation. Les coûts selon les types d’effort s’élèvent à :</w:t>
      </w:r>
    </w:p>
    <w:p>
      <w:pPr>
        <w:pStyle w:val="style52"/>
        <w:widowControl/>
        <w:numPr>
          <w:ilvl w:val="0"/>
          <w:numId w:val="5"/>
        </w:numPr>
        <w:tabs>
          <w:tab w:leader="none" w:pos="707" w:val="left"/>
        </w:tabs>
        <w:ind w:hanging="283" w:left="707" w:right="0"/>
      </w:pPr>
      <w:r>
        <w:rPr>
          <w:rFonts w:ascii="Calibri" w:hAnsi="Calibri"/>
          <w:color w:val="auto"/>
          <w:sz w:val="22"/>
          <w:szCs w:val="22"/>
        </w:rPr>
        <w:t xml:space="preserve">Prévention : </w:t>
      </w:r>
      <w:r>
        <w:rPr>
          <w:rFonts w:ascii="Calibri" w:hAnsi="Calibri"/>
          <w:color w:val="auto"/>
          <w:sz w:val="22"/>
          <w:szCs w:val="22"/>
        </w:rPr>
        <w:t>364.50</w:t>
      </w:r>
      <w:r>
        <w:rPr>
          <w:rFonts w:ascii="Calibri" w:hAnsi="Calibri"/>
          <w:color w:val="auto"/>
          <w:sz w:val="22"/>
          <w:szCs w:val="22"/>
        </w:rPr>
        <w:t xml:space="preserve">$, comptabilisé sur </w:t>
      </w:r>
      <w:r>
        <w:rPr>
          <w:rFonts w:ascii="Calibri" w:hAnsi="Calibri"/>
          <w:color w:val="auto"/>
          <w:sz w:val="22"/>
          <w:szCs w:val="22"/>
        </w:rPr>
        <w:t>12.15</w:t>
      </w:r>
      <w:r>
        <w:rPr>
          <w:rFonts w:ascii="Calibri" w:hAnsi="Calibri"/>
          <w:color w:val="auto"/>
          <w:sz w:val="22"/>
          <w:szCs w:val="22"/>
        </w:rPr>
        <w:t xml:space="preserve"> heures, totalisant </w:t>
      </w:r>
      <w:r>
        <w:rPr>
          <w:rFonts w:ascii="Calibri" w:hAnsi="Calibri"/>
          <w:color w:val="auto"/>
          <w:sz w:val="22"/>
          <w:szCs w:val="22"/>
        </w:rPr>
        <w:t>17</w:t>
      </w:r>
      <w:r>
        <w:rPr>
          <w:rFonts w:ascii="Calibri" w:hAnsi="Calibri"/>
          <w:color w:val="auto"/>
          <w:sz w:val="22"/>
          <w:szCs w:val="22"/>
        </w:rPr>
        <w:t>% du coût total.</w:t>
      </w:r>
    </w:p>
    <w:p>
      <w:pPr>
        <w:pStyle w:val="style52"/>
        <w:widowControl/>
        <w:numPr>
          <w:ilvl w:val="0"/>
          <w:numId w:val="5"/>
        </w:numPr>
        <w:tabs>
          <w:tab w:leader="none" w:pos="707" w:val="left"/>
        </w:tabs>
        <w:ind w:hanging="283" w:left="707" w:right="0"/>
      </w:pPr>
      <w:r>
        <w:rPr>
          <w:rFonts w:ascii="Calibri" w:hAnsi="Calibri"/>
          <w:color w:val="auto"/>
          <w:sz w:val="22"/>
          <w:szCs w:val="22"/>
        </w:rPr>
        <w:t xml:space="preserve">Évaluation : </w:t>
      </w:r>
      <w:r>
        <w:rPr>
          <w:rFonts w:ascii="Calibri" w:hAnsi="Calibri"/>
          <w:color w:val="auto"/>
          <w:sz w:val="22"/>
          <w:szCs w:val="22"/>
        </w:rPr>
        <w:t>378.00</w:t>
      </w:r>
      <w:r>
        <w:rPr>
          <w:rFonts w:ascii="Calibri" w:hAnsi="Calibri"/>
          <w:color w:val="auto"/>
          <w:sz w:val="22"/>
          <w:szCs w:val="22"/>
        </w:rPr>
        <w:t xml:space="preserve">$, comptabilisé sur </w:t>
      </w:r>
      <w:r>
        <w:rPr>
          <w:rFonts w:ascii="Calibri" w:hAnsi="Calibri"/>
          <w:color w:val="auto"/>
          <w:sz w:val="22"/>
          <w:szCs w:val="22"/>
        </w:rPr>
        <w:t>12.6</w:t>
      </w:r>
      <w:r>
        <w:rPr>
          <w:rFonts w:ascii="Calibri" w:hAnsi="Calibri"/>
          <w:color w:val="auto"/>
          <w:sz w:val="22"/>
          <w:szCs w:val="22"/>
        </w:rPr>
        <w:t xml:space="preserve"> heures, totalisant 17% du coût total.</w:t>
      </w:r>
    </w:p>
    <w:p>
      <w:pPr>
        <w:pStyle w:val="style52"/>
        <w:widowControl/>
        <w:numPr>
          <w:ilvl w:val="0"/>
          <w:numId w:val="5"/>
        </w:numPr>
        <w:tabs>
          <w:tab w:leader="none" w:pos="707" w:val="left"/>
        </w:tabs>
        <w:ind w:hanging="283" w:left="707" w:right="0"/>
      </w:pPr>
      <w:r>
        <w:rPr>
          <w:rFonts w:ascii="Calibri" w:hAnsi="Calibri"/>
          <w:color w:val="auto"/>
          <w:sz w:val="22"/>
          <w:szCs w:val="22"/>
        </w:rPr>
        <w:t xml:space="preserve">Défaillances : </w:t>
      </w:r>
      <w:r>
        <w:rPr>
          <w:rFonts w:ascii="Calibri" w:hAnsi="Calibri"/>
          <w:color w:val="auto"/>
          <w:sz w:val="22"/>
          <w:szCs w:val="22"/>
        </w:rPr>
        <w:t>252.00</w:t>
      </w:r>
      <w:r>
        <w:rPr>
          <w:rFonts w:ascii="Calibri" w:hAnsi="Calibri"/>
          <w:color w:val="auto"/>
          <w:sz w:val="22"/>
          <w:szCs w:val="22"/>
        </w:rPr>
        <w:t xml:space="preserve">$, comptabilisé </w:t>
      </w:r>
      <w:r>
        <w:rPr>
          <w:rFonts w:ascii="Calibri" w:hAnsi="Calibri"/>
          <w:color w:val="auto"/>
          <w:sz w:val="22"/>
          <w:szCs w:val="22"/>
        </w:rPr>
        <w:t>sur</w:t>
      </w:r>
      <w:r>
        <w:rPr>
          <w:rFonts w:ascii="Calibri" w:hAnsi="Calibri"/>
          <w:color w:val="auto"/>
          <w:sz w:val="22"/>
          <w:szCs w:val="22"/>
        </w:rPr>
        <w:t xml:space="preserve"> 8,4 heures, totalisant 1</w:t>
      </w:r>
      <w:r>
        <w:rPr>
          <w:rFonts w:ascii="Calibri" w:hAnsi="Calibri"/>
          <w:color w:val="auto"/>
          <w:sz w:val="22"/>
          <w:szCs w:val="22"/>
        </w:rPr>
        <w:t>2</w:t>
      </w:r>
      <w:r>
        <w:rPr>
          <w:rFonts w:ascii="Calibri" w:hAnsi="Calibri"/>
          <w:color w:val="auto"/>
          <w:sz w:val="22"/>
          <w:szCs w:val="22"/>
        </w:rPr>
        <w:t>% du coût total.</w:t>
      </w:r>
    </w:p>
    <w:p>
      <w:pPr>
        <w:pStyle w:val="style52"/>
        <w:widowControl/>
      </w:pPr>
      <w:r>
        <w:rPr>
          <w:rFonts w:ascii="Calibri" w:hAnsi="Calibri"/>
          <w:color w:val="auto"/>
          <w:sz w:val="22"/>
          <w:szCs w:val="22"/>
        </w:rPr>
        <w:t xml:space="preserve">Le coût total de la qualité s’élève donc à </w:t>
      </w:r>
      <w:r>
        <w:rPr>
          <w:rFonts w:ascii="Calibri" w:hAnsi="Calibri"/>
          <w:color w:val="auto"/>
          <w:sz w:val="22"/>
          <w:szCs w:val="22"/>
        </w:rPr>
        <w:t>993.5</w:t>
      </w:r>
      <w:r>
        <w:rPr>
          <w:rFonts w:ascii="Calibri" w:hAnsi="Calibri"/>
          <w:color w:val="auto"/>
          <w:sz w:val="22"/>
          <w:szCs w:val="22"/>
        </w:rPr>
        <w:t>$, pour un total de 4</w:t>
      </w:r>
      <w:r>
        <w:rPr>
          <w:rFonts w:ascii="Calibri" w:hAnsi="Calibri"/>
          <w:color w:val="auto"/>
          <w:sz w:val="22"/>
          <w:szCs w:val="22"/>
        </w:rPr>
        <w:t>6</w:t>
      </w:r>
      <w:r>
        <w:rPr>
          <w:rFonts w:ascii="Calibri" w:hAnsi="Calibri"/>
          <w:color w:val="auto"/>
          <w:sz w:val="22"/>
          <w:szCs w:val="22"/>
        </w:rPr>
        <w:t xml:space="preserve">% du projet. Ce pourcentage est plutôt élevé, mais étant donné que ce projet est le premier de son type pour nous, il est acceptable. La qualité est une notion qui s’incruste plus on la travaille et prend de moins en moins de temps. </w:t>
      </w:r>
    </w:p>
    <w:p>
      <w:pPr>
        <w:pStyle w:val="style52"/>
        <w:widowControl/>
        <w:spacing w:after="120" w:before="0"/>
        <w:contextualSpacing w:val="false"/>
      </w:pPr>
      <w:r>
        <w:rPr>
          <w:rFonts w:ascii="Calibri" w:hAnsi="Calibri"/>
          <w:color w:val="auto"/>
          <w:sz w:val="22"/>
          <w:szCs w:val="22"/>
        </w:rPr>
        <w:t>Il semble normal que l’évaluation ait le plus haut pourcentage, puisque nous avons pris un bon temps pour évaluer le projet dans son ensemble. La prévention a pris beaucoup de temps, mais cela a bien aidé en regardant le coût de défaillance final.</w:t>
      </w:r>
    </w:p>
    <w:sectPr>
      <w:type w:val="continuous"/>
      <w:pgSz w:h="15840" w:w="12240"/>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t>Dropbox\Gabarits\GABARIT Rapport analyse des mesures.docx</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pPr>
    <w:r>
      <w:rPr/>
      <w:t>Dropbox\Gabarits\GABARIT Rapport analyse des mesures.docx</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jc w:val="right"/>
    </w:pPr>
    <w:r>
      <w:rPr>
        <w:lang w:val="fr-FR"/>
      </w:rPr>
      <w:t xml:space="preserve">Page </w:t>
    </w:r>
    <w:r>
      <w:rPr>
        <w:b/>
      </w:rPr>
      <w:fldChar w:fldCharType="begin"/>
    </w:r>
    <w:r>
      <w:instrText> PAGE \*Arabic </w:instrText>
    </w:r>
    <w:r>
      <w:fldChar w:fldCharType="separate"/>
    </w:r>
    <w:r>
      <w:t>5</w:t>
    </w:r>
    <w:r>
      <w:fldChar w:fldCharType="end"/>
    </w:r>
    <w:r>
      <w:rPr>
        <w:lang w:val="fr-FR"/>
      </w:rPr>
      <w:t xml:space="preserve"> sur </w:t>
    </w:r>
    <w:r>
      <w:rPr>
        <w:b/>
        <w:lang w:val="fr-FR"/>
      </w:rPr>
      <w:fldChar w:fldCharType="begin"/>
    </w:r>
    <w:r>
      <w:instrText> NUMPAGES \*Arabic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tabs>
        <w:tab w:leader="none" w:pos="4320" w:val="center"/>
      </w:tabs>
      <w:ind w:hanging="0" w:left="0" w:right="-138"/>
    </w:pPr>
    <w:r>
      <w:rPr/>
      <w:drawing>
        <wp:inline distB="0" distL="0" distR="0" distT="0">
          <wp:extent cx="3053715" cy="60388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
                  <a:srcRect/>
                  <a:stretch>
                    <a:fillRect/>
                  </a:stretch>
                </pic:blipFill>
                <pic:spPr bwMode="auto">
                  <a:xfrm>
                    <a:off x="0" y="0"/>
                    <a:ext cx="3053715" cy="603885"/>
                  </a:xfrm>
                  <a:prstGeom prst="rect">
                    <a:avLst/>
                  </a:prstGeom>
                  <a:noFill/>
                  <a:ln w="9525">
                    <a:noFill/>
                    <a:miter lim="800000"/>
                    <a:headEnd/>
                    <a:tailEnd/>
                  </a:ln>
                </pic:spPr>
              </pic:pic>
            </a:graphicData>
          </a:graphic>
        </wp:inline>
      </w:drawing>
    </w:r>
    <w:r>
      <w:rPr/>
      <w:tab/>
      <w:t xml:space="preserve">    Analyse des mesures – </w:t>
    </w:r>
    <w:r>
      <w:rPr/>
      <w:t>Cuiseur de riz</w:t>
    </w:r>
  </w:p>
  <w:p>
    <w:pPr>
      <w:pStyle w:val="style58"/>
      <w:jc w:val="right"/>
    </w:pPr>
    <w:r>
      <w:rPr/>
      <w:t xml:space="preserve">Version </w:t>
    </w:r>
    <w:r>
      <w:rPr/>
      <w:t>1</w:t>
    </w:r>
    <w:r>
      <w:rPr/>
      <w:t>.</w:t>
    </w:r>
    <w:r>
      <w:rPr/>
      <w:t>2</w:t>
    </w:r>
  </w:p>
  <w:p>
    <w:pPr>
      <w:pStyle w:val="style58"/>
      <w:jc w:val="right"/>
    </w:pPr>
    <w:r>
      <w:rPr/>
      <w:t>24-03-2013</w:t>
    </w:r>
  </w:p>
  <w:p>
    <w:pPr>
      <w:pStyle w:val="style58"/>
    </w:pPr>
    <w:r>
      <w:rPr/>
      <w:pic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auto"/>
      <w:sz w:val="22"/>
      <w:szCs w:val="22"/>
      <w:lang w:bidi="ar-SA" w:eastAsia="fr-CA" w:val="fr-CA"/>
    </w:rPr>
  </w:style>
  <w:style w:styleId="style1" w:type="paragraph">
    <w:name w:val="Heading 1"/>
    <w:basedOn w:val="style0"/>
    <w:next w:val="style52"/>
    <w:pPr>
      <w:spacing w:after="0" w:before="480"/>
      <w:contextualSpacing/>
    </w:pPr>
    <w:rPr>
      <w:rFonts w:ascii="Cambria" w:cs="" w:hAnsi="Cambria"/>
      <w:b/>
      <w:bCs/>
      <w:sz w:val="28"/>
      <w:szCs w:val="28"/>
    </w:rPr>
  </w:style>
  <w:style w:styleId="style2" w:type="paragraph">
    <w:name w:val="Heading 2"/>
    <w:basedOn w:val="style0"/>
    <w:next w:val="style52"/>
    <w:pPr>
      <w:numPr>
        <w:ilvl w:val="1"/>
        <w:numId w:val="1"/>
      </w:numPr>
      <w:spacing w:after="0" w:before="200"/>
      <w:contextualSpacing w:val="false"/>
      <w:outlineLvl w:val="1"/>
    </w:pPr>
    <w:rPr>
      <w:rFonts w:ascii="Cambria" w:cs="" w:hAnsi="Cambria"/>
      <w:b/>
      <w:bCs/>
      <w:sz w:val="26"/>
      <w:szCs w:val="26"/>
    </w:rPr>
  </w:style>
  <w:style w:styleId="style3" w:type="paragraph">
    <w:name w:val="Heading 3"/>
    <w:basedOn w:val="style0"/>
    <w:next w:val="style52"/>
    <w:pPr>
      <w:numPr>
        <w:ilvl w:val="2"/>
        <w:numId w:val="1"/>
      </w:numPr>
      <w:spacing w:after="0" w:before="200" w:line="268" w:lineRule="auto"/>
      <w:contextualSpacing w:val="false"/>
      <w:outlineLvl w:val="2"/>
    </w:pPr>
    <w:rPr>
      <w:rFonts w:ascii="Cambria" w:cs="" w:hAnsi="Cambria"/>
      <w:b/>
      <w:bCs/>
    </w:rPr>
  </w:style>
  <w:style w:styleId="style4" w:type="paragraph">
    <w:name w:val="Heading 4"/>
    <w:basedOn w:val="style0"/>
    <w:next w:val="style52"/>
    <w:pPr>
      <w:numPr>
        <w:ilvl w:val="3"/>
        <w:numId w:val="1"/>
      </w:numPr>
      <w:spacing w:after="0" w:before="200"/>
      <w:contextualSpacing w:val="false"/>
      <w:outlineLvl w:val="3"/>
    </w:pPr>
    <w:rPr>
      <w:rFonts w:ascii="Cambria" w:cs="" w:hAnsi="Cambria"/>
      <w:b/>
      <w:bCs/>
      <w:i/>
      <w:iCs/>
    </w:rPr>
  </w:style>
  <w:style w:styleId="style5" w:type="paragraph">
    <w:name w:val="Heading 5"/>
    <w:basedOn w:val="style0"/>
    <w:next w:val="style52"/>
    <w:pPr>
      <w:numPr>
        <w:ilvl w:val="4"/>
        <w:numId w:val="1"/>
      </w:numPr>
      <w:spacing w:after="0" w:before="200"/>
      <w:contextualSpacing w:val="false"/>
      <w:outlineLvl w:val="4"/>
    </w:pPr>
    <w:rPr>
      <w:rFonts w:ascii="Cambria" w:cs="" w:hAnsi="Cambria"/>
      <w:b/>
      <w:bCs/>
      <w:color w:val="7F7F7F"/>
    </w:rPr>
  </w:style>
  <w:style w:styleId="style6" w:type="paragraph">
    <w:name w:val="Heading 6"/>
    <w:basedOn w:val="style0"/>
    <w:next w:val="style52"/>
    <w:pPr>
      <w:numPr>
        <w:ilvl w:val="5"/>
        <w:numId w:val="1"/>
      </w:numPr>
      <w:spacing w:after="0" w:before="0" w:line="268" w:lineRule="auto"/>
      <w:contextualSpacing w:val="false"/>
      <w:outlineLvl w:val="5"/>
    </w:pPr>
    <w:rPr>
      <w:rFonts w:ascii="Cambria" w:cs="" w:hAnsi="Cambria"/>
      <w:b/>
      <w:bCs/>
      <w:i/>
      <w:iCs/>
      <w:color w:val="7F7F7F"/>
    </w:rPr>
  </w:style>
  <w:style w:styleId="style7" w:type="paragraph">
    <w:name w:val="Heading 7"/>
    <w:basedOn w:val="style0"/>
    <w:next w:val="style52"/>
    <w:pPr>
      <w:numPr>
        <w:ilvl w:val="6"/>
        <w:numId w:val="1"/>
      </w:numPr>
      <w:spacing w:after="0" w:before="0"/>
      <w:contextualSpacing w:val="false"/>
      <w:outlineLvl w:val="6"/>
    </w:pPr>
    <w:rPr>
      <w:rFonts w:ascii="Cambria" w:cs="" w:hAnsi="Cambria"/>
      <w:i/>
      <w:iCs/>
    </w:rPr>
  </w:style>
  <w:style w:styleId="style8" w:type="paragraph">
    <w:name w:val="Heading 8"/>
    <w:basedOn w:val="style0"/>
    <w:next w:val="style52"/>
    <w:pPr>
      <w:numPr>
        <w:ilvl w:val="7"/>
        <w:numId w:val="1"/>
      </w:numPr>
      <w:spacing w:after="0" w:before="0"/>
      <w:contextualSpacing w:val="false"/>
      <w:outlineLvl w:val="7"/>
    </w:pPr>
    <w:rPr>
      <w:rFonts w:ascii="Cambria" w:cs="" w:hAnsi="Cambria"/>
      <w:sz w:val="20"/>
      <w:szCs w:val="20"/>
    </w:rPr>
  </w:style>
  <w:style w:styleId="style9" w:type="paragraph">
    <w:name w:val="Heading 9"/>
    <w:basedOn w:val="style0"/>
    <w:next w:val="style52"/>
    <w:pPr>
      <w:numPr>
        <w:ilvl w:val="8"/>
        <w:numId w:val="1"/>
      </w:numPr>
      <w:spacing w:after="0" w:before="0"/>
      <w:contextualSpacing w:val="false"/>
      <w:outlineLvl w:val="8"/>
    </w:pPr>
    <w:rPr>
      <w:rFonts w:ascii="Cambria" w:cs="" w:hAnsi="Cambria"/>
      <w:i/>
      <w:iCs/>
      <w:spacing w:val="5"/>
      <w:sz w:val="20"/>
      <w:szCs w:val="20"/>
    </w:rPr>
  </w:style>
  <w:style w:styleId="style15" w:type="character">
    <w:name w:val="Default Paragraph Font"/>
    <w:next w:val="style15"/>
    <w:rPr/>
  </w:style>
  <w:style w:styleId="style16" w:type="character">
    <w:name w:val="No Spacing Char"/>
    <w:basedOn w:val="style15"/>
    <w:next w:val="style16"/>
    <w:rPr/>
  </w:style>
  <w:style w:styleId="style17" w:type="character">
    <w:name w:val="Balloon Text Char"/>
    <w:basedOn w:val="style15"/>
    <w:next w:val="style17"/>
    <w:rPr>
      <w:rFonts w:ascii="Tahoma" w:cs="Tahoma" w:hAnsi="Tahoma"/>
      <w:sz w:val="16"/>
      <w:szCs w:val="1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Heading 1 Char"/>
    <w:basedOn w:val="style15"/>
    <w:next w:val="style20"/>
    <w:rPr>
      <w:rFonts w:ascii="Cambria" w:cs="" w:hAnsi="Cambria"/>
      <w:b/>
      <w:bCs/>
      <w:sz w:val="28"/>
      <w:szCs w:val="28"/>
    </w:rPr>
  </w:style>
  <w:style w:styleId="style21" w:type="character">
    <w:name w:val="Heading 2 Char"/>
    <w:basedOn w:val="style15"/>
    <w:next w:val="style21"/>
    <w:rPr>
      <w:rFonts w:ascii="Cambria" w:cs="" w:hAnsi="Cambria"/>
      <w:b/>
      <w:bCs/>
      <w:sz w:val="26"/>
      <w:szCs w:val="26"/>
    </w:rPr>
  </w:style>
  <w:style w:styleId="style22" w:type="character">
    <w:name w:val="Heading 3 Char"/>
    <w:basedOn w:val="style15"/>
    <w:next w:val="style22"/>
    <w:rPr>
      <w:rFonts w:ascii="Cambria" w:cs="" w:hAnsi="Cambria"/>
      <w:b/>
      <w:bCs/>
    </w:rPr>
  </w:style>
  <w:style w:styleId="style23" w:type="character">
    <w:name w:val="Heading 4 Char"/>
    <w:basedOn w:val="style15"/>
    <w:next w:val="style23"/>
    <w:rPr>
      <w:rFonts w:ascii="Cambria" w:cs="" w:hAnsi="Cambria"/>
      <w:b/>
      <w:bCs/>
      <w:i/>
      <w:iCs/>
    </w:rPr>
  </w:style>
  <w:style w:styleId="style24" w:type="character">
    <w:name w:val="Heading 5 Char"/>
    <w:basedOn w:val="style15"/>
    <w:next w:val="style24"/>
    <w:rPr>
      <w:rFonts w:ascii="Cambria" w:cs="" w:hAnsi="Cambria"/>
      <w:b/>
      <w:bCs/>
      <w:color w:val="7F7F7F"/>
    </w:rPr>
  </w:style>
  <w:style w:styleId="style25" w:type="character">
    <w:name w:val="Heading 6 Char"/>
    <w:basedOn w:val="style15"/>
    <w:next w:val="style25"/>
    <w:rPr>
      <w:rFonts w:ascii="Cambria" w:cs="" w:hAnsi="Cambria"/>
      <w:b/>
      <w:bCs/>
      <w:i/>
      <w:iCs/>
      <w:color w:val="7F7F7F"/>
    </w:rPr>
  </w:style>
  <w:style w:styleId="style26" w:type="character">
    <w:name w:val="Heading 7 Char"/>
    <w:basedOn w:val="style15"/>
    <w:next w:val="style26"/>
    <w:rPr>
      <w:rFonts w:ascii="Cambria" w:cs="" w:hAnsi="Cambria"/>
      <w:i/>
      <w:iCs/>
    </w:rPr>
  </w:style>
  <w:style w:styleId="style27" w:type="character">
    <w:name w:val="Heading 8 Char"/>
    <w:basedOn w:val="style15"/>
    <w:next w:val="style27"/>
    <w:rPr>
      <w:rFonts w:ascii="Cambria" w:cs="" w:hAnsi="Cambria"/>
      <w:sz w:val="20"/>
      <w:szCs w:val="20"/>
    </w:rPr>
  </w:style>
  <w:style w:styleId="style28" w:type="character">
    <w:name w:val="Heading 9 Char"/>
    <w:basedOn w:val="style15"/>
    <w:next w:val="style28"/>
    <w:rPr>
      <w:rFonts w:ascii="Cambria" w:cs="" w:hAnsi="Cambria"/>
      <w:i/>
      <w:iCs/>
      <w:spacing w:val="5"/>
      <w:sz w:val="20"/>
      <w:szCs w:val="20"/>
    </w:rPr>
  </w:style>
  <w:style w:styleId="style29" w:type="character">
    <w:name w:val="Title Char"/>
    <w:basedOn w:val="style15"/>
    <w:next w:val="style29"/>
    <w:rPr>
      <w:rFonts w:ascii="Cambria" w:cs="" w:hAnsi="Cambria"/>
      <w:spacing w:val="5"/>
      <w:sz w:val="52"/>
      <w:szCs w:val="52"/>
    </w:rPr>
  </w:style>
  <w:style w:styleId="style30" w:type="character">
    <w:name w:val="Subtitle Char"/>
    <w:basedOn w:val="style15"/>
    <w:next w:val="style30"/>
    <w:rPr>
      <w:rFonts w:ascii="Cambria" w:cs="" w:hAnsi="Cambria"/>
      <w:i/>
      <w:iCs/>
      <w:spacing w:val="13"/>
      <w:sz w:val="24"/>
      <w:szCs w:val="24"/>
    </w:rPr>
  </w:style>
  <w:style w:styleId="style31" w:type="character">
    <w:name w:val="Strong Emphasis"/>
    <w:next w:val="style31"/>
    <w:rPr>
      <w:b/>
      <w:bCs/>
    </w:rPr>
  </w:style>
  <w:style w:styleId="style32" w:type="character">
    <w:name w:val="Emphasis"/>
    <w:next w:val="style32"/>
    <w:rPr>
      <w:b/>
      <w:bCs/>
      <w:i/>
      <w:iCs/>
      <w:spacing w:val="10"/>
      <w:shd w:fill="FFFFFF" w:val="clear"/>
    </w:rPr>
  </w:style>
  <w:style w:styleId="style33" w:type="character">
    <w:name w:val="Quote Char"/>
    <w:basedOn w:val="style15"/>
    <w:next w:val="style33"/>
    <w:rPr>
      <w:i/>
      <w:iCs/>
    </w:rPr>
  </w:style>
  <w:style w:styleId="style34" w:type="character">
    <w:name w:val="Intense Quote Char"/>
    <w:basedOn w:val="style15"/>
    <w:next w:val="style34"/>
    <w:rPr>
      <w:b/>
      <w:bCs/>
      <w:i/>
      <w:iCs/>
    </w:rPr>
  </w:style>
  <w:style w:styleId="style35" w:type="character">
    <w:name w:val="Subtle Emphasis"/>
    <w:next w:val="style35"/>
    <w:rPr>
      <w:i/>
      <w:iCs/>
    </w:rPr>
  </w:style>
  <w:style w:styleId="style36" w:type="character">
    <w:name w:val="Intense Emphasis"/>
    <w:next w:val="style36"/>
    <w:rPr>
      <w:b/>
      <w:bCs/>
    </w:rPr>
  </w:style>
  <w:style w:styleId="style37" w:type="character">
    <w:name w:val="Subtle Reference"/>
    <w:next w:val="style37"/>
    <w:rPr>
      <w:smallCaps/>
    </w:rPr>
  </w:style>
  <w:style w:styleId="style38" w:type="character">
    <w:name w:val="Intense Reference"/>
    <w:next w:val="style38"/>
    <w:rPr>
      <w:smallCaps/>
      <w:spacing w:val="5"/>
      <w:u w:val="single"/>
    </w:rPr>
  </w:style>
  <w:style w:styleId="style39" w:type="character">
    <w:name w:val="Book Title"/>
    <w:next w:val="style39"/>
    <w:rPr>
      <w:i/>
      <w:iCs/>
      <w:smallCaps/>
      <w:spacing w:val="5"/>
    </w:rPr>
  </w:style>
  <w:style w:styleId="style40" w:type="character">
    <w:name w:val="Body Text Char"/>
    <w:basedOn w:val="style15"/>
    <w:next w:val="style40"/>
    <w:rPr>
      <w:rFonts w:ascii="Times New Roman" w:cs="Times New Roman" w:eastAsia="Times New Roman" w:hAnsi="Times New Roman"/>
      <w:sz w:val="24"/>
      <w:szCs w:val="24"/>
      <w:lang w:eastAsia="fr-FR" w:val="en-US"/>
    </w:rPr>
  </w:style>
  <w:style w:styleId="style41" w:type="character">
    <w:name w:val="Body Text Indent Char"/>
    <w:basedOn w:val="style15"/>
    <w:next w:val="style41"/>
    <w:rPr>
      <w:rFonts w:ascii="Arial" w:cs="Times New Roman" w:eastAsia="Times New Roman" w:hAnsi="Arial"/>
      <w:sz w:val="24"/>
      <w:szCs w:val="24"/>
      <w:lang w:eastAsia="fr-FR" w:val="en-US"/>
    </w:rPr>
  </w:style>
  <w:style w:styleId="style42" w:type="character">
    <w:name w:val="Body Text Indent 2 Char"/>
    <w:basedOn w:val="style15"/>
    <w:next w:val="style42"/>
    <w:rPr>
      <w:rFonts w:ascii="Arial" w:cs="Times New Roman" w:eastAsia="Times New Roman" w:hAnsi="Arial"/>
      <w:sz w:val="24"/>
      <w:szCs w:val="24"/>
      <w:lang w:eastAsia="fr-FR" w:val="en-US"/>
    </w:rPr>
  </w:style>
  <w:style w:styleId="style43" w:type="character">
    <w:name w:val="Body Text Indent 3 Char"/>
    <w:basedOn w:val="style15"/>
    <w:next w:val="style43"/>
    <w:rPr>
      <w:rFonts w:ascii="Arial" w:cs="Arial" w:eastAsia="Times New Roman" w:hAnsi="Arial"/>
      <w:sz w:val="24"/>
      <w:szCs w:val="24"/>
      <w:lang w:eastAsia="fr-FR" w:val="en-US"/>
    </w:rPr>
  </w:style>
  <w:style w:styleId="style44" w:type="character">
    <w:name w:val="Internet Link"/>
    <w:basedOn w:val="style15"/>
    <w:next w:val="style44"/>
    <w:rPr>
      <w:color w:val="0000FF"/>
      <w:u w:val="single"/>
      <w:lang w:bidi="en-US" w:eastAsia="en-US" w:val="en-US"/>
    </w:rPr>
  </w:style>
  <w:style w:styleId="style45" w:type="character">
    <w:name w:val="ListLabel 1"/>
    <w:next w:val="style45"/>
    <w:rPr>
      <w:b/>
    </w:rPr>
  </w:style>
  <w:style w:styleId="style46" w:type="character">
    <w:name w:val="ListLabel 2"/>
    <w:next w:val="style46"/>
    <w:rPr>
      <w:rFonts w:cs="Times New Roman"/>
    </w:rPr>
  </w:style>
  <w:style w:styleId="style47" w:type="character">
    <w:name w:val="ListLabel 3"/>
    <w:next w:val="style47"/>
    <w:rPr>
      <w:lang w:val="fr-CA"/>
    </w:rPr>
  </w:style>
  <w:style w:styleId="style48" w:type="character">
    <w:name w:val="ListLabel 4"/>
    <w:next w:val="style48"/>
    <w:rPr>
      <w:rFonts w:cs="Courier New"/>
    </w:rPr>
  </w:style>
  <w:style w:styleId="style49" w:type="character">
    <w:name w:val="Index Link"/>
    <w:next w:val="style49"/>
    <w:rPr/>
  </w:style>
  <w:style w:styleId="style50" w:type="character">
    <w:name w:val="Bullets"/>
    <w:next w:val="style50"/>
    <w:rPr>
      <w:rFonts w:ascii="OpenSymbol" w:cs="OpenSymbol" w:eastAsia="OpenSymbol" w:hAnsi="OpenSymbol"/>
    </w:rPr>
  </w:style>
  <w:style w:styleId="style51" w:type="paragraph">
    <w:name w:val="Heading"/>
    <w:basedOn w:val="style0"/>
    <w:next w:val="style52"/>
    <w:pPr>
      <w:keepNext/>
      <w:spacing w:after="120" w:before="240"/>
      <w:contextualSpacing w:val="false"/>
    </w:pPr>
    <w:rPr>
      <w:rFonts w:ascii="Arial" w:cs="Lohit Hindi" w:eastAsia="DejaVu Sans" w:hAnsi="Arial"/>
      <w:sz w:val="28"/>
      <w:szCs w:val="28"/>
    </w:rPr>
  </w:style>
  <w:style w:styleId="style52" w:type="paragraph">
    <w:name w:val="Text body"/>
    <w:basedOn w:val="style0"/>
    <w:next w:val="style52"/>
    <w:pPr>
      <w:spacing w:after="120" w:before="0" w:line="100" w:lineRule="atLeast"/>
      <w:contextualSpacing w:val="false"/>
      <w:jc w:val="both"/>
    </w:pPr>
    <w:rPr>
      <w:rFonts w:ascii="Times New Roman" w:cs="Times New Roman" w:eastAsia="Times New Roman" w:hAnsi="Times New Roman"/>
      <w:sz w:val="24"/>
      <w:szCs w:val="24"/>
      <w:lang w:eastAsia="fr-FR" w:val="en-US"/>
    </w:rPr>
  </w:style>
  <w:style w:styleId="style53" w:type="paragraph">
    <w:name w:val="List"/>
    <w:basedOn w:val="style52"/>
    <w:next w:val="style53"/>
    <w:pPr/>
    <w:rPr>
      <w:rFonts w:cs="Lohit Hindi"/>
    </w:rPr>
  </w:style>
  <w:style w:styleId="style54" w:type="paragraph">
    <w:name w:val="Caption"/>
    <w:basedOn w:val="style0"/>
    <w:next w:val="style54"/>
    <w:pPr>
      <w:suppressLineNumbers/>
      <w:spacing w:after="120" w:before="120"/>
      <w:contextualSpacing w:val="false"/>
    </w:pPr>
    <w:rPr>
      <w:rFonts w:cs="Lohit Hindi"/>
      <w:i/>
      <w:iCs/>
      <w:sz w:val="24"/>
      <w:szCs w:val="24"/>
    </w:rPr>
  </w:style>
  <w:style w:styleId="style55" w:type="paragraph">
    <w:name w:val="Index"/>
    <w:basedOn w:val="style0"/>
    <w:next w:val="style55"/>
    <w:pPr>
      <w:suppressLineNumbers/>
    </w:pPr>
    <w:rPr>
      <w:rFonts w:cs="Lohit Hindi"/>
    </w:rPr>
  </w:style>
  <w:style w:styleId="style56" w:type="paragraph">
    <w:name w:val="No Spacing"/>
    <w:basedOn w:val="style0"/>
    <w:next w:val="style56"/>
    <w:pPr>
      <w:spacing w:after="0" w:before="0" w:line="100" w:lineRule="atLeast"/>
      <w:contextualSpacing w:val="false"/>
    </w:pPr>
    <w:rPr/>
  </w:style>
  <w:style w:styleId="style57" w:type="paragraph">
    <w:name w:val="Balloon Text"/>
    <w:basedOn w:val="style0"/>
    <w:next w:val="style57"/>
    <w:pPr>
      <w:spacing w:after="0" w:before="0" w:line="100" w:lineRule="atLeast"/>
      <w:contextualSpacing w:val="false"/>
    </w:pPr>
    <w:rPr>
      <w:rFonts w:ascii="Tahoma" w:cs="Tahoma" w:hAnsi="Tahoma"/>
      <w:sz w:val="16"/>
      <w:szCs w:val="16"/>
    </w:rPr>
  </w:style>
  <w:style w:styleId="style58" w:type="paragraph">
    <w:name w:val="Header"/>
    <w:basedOn w:val="style0"/>
    <w:next w:val="style58"/>
    <w:pPr>
      <w:suppressLineNumbers/>
      <w:tabs>
        <w:tab w:leader="none" w:pos="4320" w:val="center"/>
        <w:tab w:leader="none" w:pos="8640" w:val="right"/>
      </w:tabs>
      <w:spacing w:after="0" w:before="0" w:line="100" w:lineRule="atLeast"/>
      <w:contextualSpacing w:val="false"/>
    </w:pPr>
    <w:rPr/>
  </w:style>
  <w:style w:styleId="style59" w:type="paragraph">
    <w:name w:val="Footer"/>
    <w:basedOn w:val="style0"/>
    <w:next w:val="style59"/>
    <w:pPr>
      <w:suppressLineNumbers/>
      <w:tabs>
        <w:tab w:leader="none" w:pos="4320" w:val="center"/>
        <w:tab w:leader="none" w:pos="8640" w:val="right"/>
      </w:tabs>
      <w:spacing w:after="0" w:before="0" w:line="100" w:lineRule="atLeast"/>
      <w:contextualSpacing w:val="false"/>
    </w:pPr>
    <w:rPr/>
  </w:style>
  <w:style w:styleId="style60" w:type="paragraph">
    <w:name w:val="Tabletext"/>
    <w:basedOn w:val="style0"/>
    <w:next w:val="style60"/>
    <w:pPr>
      <w:keepLines/>
      <w:widowControl w:val="false"/>
      <w:spacing w:after="120" w:before="0" w:line="240" w:lineRule="atLeast"/>
      <w:contextualSpacing w:val="false"/>
    </w:pPr>
    <w:rPr>
      <w:rFonts w:ascii="Times New Roman" w:cs="Times New Roman" w:eastAsia="Times New Roman" w:hAnsi="Times New Roman"/>
      <w:sz w:val="20"/>
      <w:szCs w:val="20"/>
      <w:lang w:eastAsia="en-US" w:val="en-US"/>
    </w:rPr>
  </w:style>
  <w:style w:styleId="style61" w:type="paragraph">
    <w:name w:val="List Paragraph"/>
    <w:basedOn w:val="style0"/>
    <w:next w:val="style61"/>
    <w:pPr>
      <w:spacing w:after="200" w:before="0"/>
      <w:ind w:hanging="0" w:left="720" w:right="0"/>
      <w:contextualSpacing/>
    </w:pPr>
    <w:rPr/>
  </w:style>
  <w:style w:styleId="style62" w:type="paragraph">
    <w:name w:val="Title"/>
    <w:basedOn w:val="style0"/>
    <w:next w:val="style63"/>
    <w:pPr>
      <w:pBdr>
        <w:bottom w:color="00000A" w:space="0" w:sz="4" w:val="single"/>
      </w:pBdr>
      <w:spacing w:after="200" w:before="0" w:line="100" w:lineRule="atLeast"/>
      <w:contextualSpacing/>
      <w:jc w:val="center"/>
    </w:pPr>
    <w:rPr>
      <w:rFonts w:ascii="Cambria" w:cs="" w:hAnsi="Cambria"/>
      <w:b/>
      <w:bCs/>
      <w:spacing w:val="5"/>
      <w:sz w:val="52"/>
      <w:szCs w:val="52"/>
    </w:rPr>
  </w:style>
  <w:style w:styleId="style63" w:type="paragraph">
    <w:name w:val="Subtitle"/>
    <w:basedOn w:val="style0"/>
    <w:next w:val="style52"/>
    <w:pPr>
      <w:spacing w:after="600" w:before="0"/>
      <w:contextualSpacing w:val="false"/>
      <w:jc w:val="center"/>
    </w:pPr>
    <w:rPr>
      <w:rFonts w:ascii="Cambria" w:cs="" w:hAnsi="Cambria"/>
      <w:i/>
      <w:iCs/>
      <w:spacing w:val="13"/>
      <w:sz w:val="24"/>
      <w:szCs w:val="24"/>
    </w:rPr>
  </w:style>
  <w:style w:styleId="style64" w:type="paragraph">
    <w:name w:val="Quote"/>
    <w:basedOn w:val="style0"/>
    <w:next w:val="style64"/>
    <w:pPr>
      <w:spacing w:after="0" w:before="200"/>
      <w:ind w:hanging="0" w:left="360" w:right="360"/>
      <w:contextualSpacing w:val="false"/>
    </w:pPr>
    <w:rPr>
      <w:i/>
      <w:iCs/>
    </w:rPr>
  </w:style>
  <w:style w:styleId="style65" w:type="paragraph">
    <w:name w:val="Intense Quote"/>
    <w:basedOn w:val="style0"/>
    <w:next w:val="style65"/>
    <w:pPr>
      <w:pBdr>
        <w:bottom w:color="00000A" w:space="0" w:sz="4" w:val="single"/>
      </w:pBdr>
      <w:spacing w:after="280" w:before="200"/>
      <w:ind w:hanging="0" w:left="1008" w:right="1152"/>
      <w:contextualSpacing w:val="false"/>
      <w:jc w:val="both"/>
    </w:pPr>
    <w:rPr>
      <w:b/>
      <w:bCs/>
      <w:i/>
      <w:iCs/>
    </w:rPr>
  </w:style>
  <w:style w:styleId="style66" w:type="paragraph">
    <w:name w:val="Contents Heading"/>
    <w:basedOn w:val="style1"/>
    <w:next w:val="style66"/>
    <w:pPr>
      <w:suppressLineNumbers/>
    </w:pPr>
    <w:rPr>
      <w:b/>
      <w:bCs/>
      <w:sz w:val="32"/>
      <w:szCs w:val="32"/>
      <w:lang w:bidi="en-US"/>
    </w:rPr>
  </w:style>
  <w:style w:styleId="style67" w:type="paragraph">
    <w:name w:val="Text body indent"/>
    <w:basedOn w:val="style0"/>
    <w:next w:val="style67"/>
    <w:pPr>
      <w:spacing w:after="120" w:before="0" w:line="100" w:lineRule="atLeast"/>
      <w:ind w:hanging="0" w:left="1440" w:right="0"/>
      <w:contextualSpacing w:val="false"/>
      <w:jc w:val="both"/>
    </w:pPr>
    <w:rPr>
      <w:rFonts w:ascii="Arial" w:cs="Times New Roman" w:eastAsia="Times New Roman" w:hAnsi="Arial"/>
      <w:sz w:val="24"/>
      <w:szCs w:val="24"/>
      <w:lang w:eastAsia="fr-FR" w:val="en-US"/>
    </w:rPr>
  </w:style>
  <w:style w:styleId="style68" w:type="paragraph">
    <w:name w:val="Body Text Indent 2"/>
    <w:basedOn w:val="style0"/>
    <w:next w:val="style68"/>
    <w:pPr>
      <w:spacing w:after="120" w:before="0" w:line="100" w:lineRule="atLeast"/>
      <w:ind w:hanging="0" w:left="2520" w:right="0"/>
      <w:contextualSpacing w:val="false"/>
      <w:jc w:val="both"/>
    </w:pPr>
    <w:rPr>
      <w:rFonts w:ascii="Arial" w:cs="Times New Roman" w:eastAsia="Times New Roman" w:hAnsi="Arial"/>
      <w:sz w:val="24"/>
      <w:szCs w:val="24"/>
      <w:lang w:eastAsia="fr-FR" w:val="en-US"/>
    </w:rPr>
  </w:style>
  <w:style w:styleId="style69" w:type="paragraph">
    <w:name w:val="Body Text Indent 3"/>
    <w:basedOn w:val="style0"/>
    <w:next w:val="style69"/>
    <w:pPr>
      <w:spacing w:after="120" w:before="0" w:line="100" w:lineRule="atLeast"/>
      <w:ind w:hanging="0" w:left="720" w:right="0"/>
      <w:contextualSpacing w:val="false"/>
      <w:jc w:val="both"/>
    </w:pPr>
    <w:rPr>
      <w:rFonts w:ascii="Arial" w:cs="Arial" w:eastAsia="Times New Roman" w:hAnsi="Arial"/>
      <w:sz w:val="24"/>
      <w:szCs w:val="24"/>
      <w:lang w:eastAsia="fr-FR" w:val="en-US"/>
    </w:rPr>
  </w:style>
  <w:style w:styleId="style70" w:type="paragraph">
    <w:name w:val="Contents 1"/>
    <w:basedOn w:val="style0"/>
    <w:next w:val="style70"/>
    <w:pPr>
      <w:tabs>
        <w:tab w:leader="dot" w:pos="9972" w:val="right"/>
      </w:tabs>
      <w:spacing w:after="100" w:before="0"/>
      <w:ind w:hanging="0" w:left="0" w:right="0"/>
      <w:contextualSpacing w:val="false"/>
    </w:pPr>
    <w:rPr/>
  </w:style>
  <w:style w:styleId="style71" w:type="paragraph">
    <w:name w:val="Contents 2"/>
    <w:basedOn w:val="style0"/>
    <w:next w:val="style71"/>
    <w:pPr>
      <w:tabs>
        <w:tab w:leader="dot" w:pos="9909" w:val="right"/>
      </w:tabs>
      <w:spacing w:after="100" w:before="0"/>
      <w:ind w:hanging="0" w:left="220" w:right="0"/>
      <w:contextualSpacing w:val="false"/>
    </w:pPr>
    <w:rPr/>
  </w:style>
  <w:style w:styleId="style72" w:type="paragraph">
    <w:name w:val="Contents 3"/>
    <w:basedOn w:val="style0"/>
    <w:next w:val="style72"/>
    <w:pPr>
      <w:tabs>
        <w:tab w:leader="dot" w:pos="9846" w:val="right"/>
      </w:tabs>
      <w:spacing w:after="100" w:before="0"/>
      <w:ind w:hanging="0" w:left="44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8.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9.png"/>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2012-12-15T14:45:00.00Z</dcterms:created>
  <dc:creator>Jean-François Patenaude</dc:creator>
  <cp:lastModifiedBy>claporte</cp:lastModifiedBy>
  <dcterms:modified xsi:type="dcterms:W3CDTF">2012-12-21T16:24:00.00Z</dcterms:modified>
  <cp:revision>6</cp:revision>
  <dc:subject>Version #.#</dc:subject>
  <dc:title>Rapport d'analyse des mesures</dc:title>
</cp:coreProperties>
</file>