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 w:after="240"/>
      </w:pPr>
      <w:r>
        <w:rPr>
          <w:rFonts w:ascii="Calibri" w:hAnsi="Calibri"/>
          <w:b/>
          <w:i w:val="0"/>
          <w:color w:val="FF7A00"/>
          <w:sz w:val="24"/>
        </w:rPr>
        <w:t>REDVITALIA</w:t>
      </w:r>
    </w:p>
    <w:p>
      <w:pPr>
        <w:spacing w:after="240"/>
      </w:pPr>
      <w:r>
        <w:rPr>
          <w:rFonts w:ascii="Calibri" w:hAnsi="Calibri"/>
          <w:b/>
          <w:i w:val="0"/>
          <w:color w:val="10213A"/>
          <w:sz w:val="60"/>
        </w:rPr>
        <w:t>Diagnóstico, propuesta y plan mutuo</w:t>
      </w:r>
    </w:p>
    <w:p>
      <w:pPr>
        <w:spacing w:after="800"/>
      </w:pPr>
      <w:r>
        <w:rPr>
          <w:rFonts w:ascii="Calibri" w:hAnsi="Calibri"/>
          <w:b w:val="0"/>
          <w:i w:val="0"/>
          <w:color w:val="607089"/>
          <w:sz w:val="30"/>
        </w:rPr>
        <w:t>Plantilla editable para closers de RedVitalia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7D0"/>
                <w:sz w:val="20"/>
              </w:rPr>
              <w:t xml:space="preserve">OBJETIVO  </w:t>
            </w:r>
            <w:r>
              <w:rPr>
                <w:rFonts w:ascii="Calibri" w:hAnsi="Calibri"/>
                <w:b/>
                <w:i w:val="0"/>
                <w:color w:val="10213A"/>
                <w:sz w:val="21"/>
              </w:rPr>
              <w:t>Convertir actividad comercial en conversaciones cualificadas y decisiones verificables, sin promesas ni automatismos de publicación.</w:t>
            </w:r>
          </w:p>
        </w:tc>
        <w:trPr>
          <w:tblHeader/>
        </w:trPr>
      </w:tr>
    </w:tbl>
    <w:p>
      <w:r>
        <w:br w:type="page"/>
      </w:r>
    </w:p>
    <w:p>
      <w:pPr>
        <w:pStyle w:val="Heading1"/>
      </w:pPr>
      <w:r>
        <w:t>Ficha de oportunidad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Respuesta</w:t>
            </w:r>
          </w:p>
        </w:tc>
        <w:trPr>
          <w:tblHeader/>
        </w:trPr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Empresa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Vertical y línea prioritaria</w:t>
            </w:r>
          </w:p>
        </w:tc>
        <w:tc>
          <w:tcPr>
            <w:tcW w:type="dxa" w:w="6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Participantes y funciones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Fecha de reunión</w:t>
            </w:r>
          </w:p>
        </w:tc>
        <w:tc>
          <w:tcPr>
            <w:tcW w:type="dxa" w:w="6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Fuente y contacto previo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Fecha de decisión</w:t>
            </w:r>
          </w:p>
        </w:tc>
        <w:tc>
          <w:tcPr>
            <w:tcW w:type="dxa" w:w="6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Hipótesis antes de la llamada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1500"/>
        <w:gridCol w:w="3060"/>
      </w:tblGrid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Observación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Fuente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Confianza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Pregunta de comprobación</w:t>
            </w:r>
          </w:p>
        </w:tc>
        <w:trPr>
          <w:tblHeader/>
        </w:trPr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Alta / media / baja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</w:r>
          </w:p>
        </w:tc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Alta / media / baja</w:t>
            </w:r>
          </w:p>
        </w:tc>
        <w:tc>
          <w:tcPr>
            <w:tcW w:type="dxa" w:w="3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Alta / media / baja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r>
              <w:rPr>
                <w:rFonts w:ascii="Calibri" w:hAnsi="Calibri"/>
                <w:b/>
                <w:i w:val="0"/>
                <w:color w:val="0B57D0"/>
                <w:sz w:val="18"/>
              </w:rPr>
              <w:t>REGLA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No presentes una hipótesis como un hecho. Toda conclusión comercial debe poder remontarse a una respuesta, dato o fuente.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Apertura y contrato de reunión</w:t>
      </w:r>
    </w:p>
    <w:p>
      <w:r>
        <w:rPr>
          <w:rFonts w:ascii="Calibri" w:hAnsi="Calibri"/>
          <w:b w:val="0"/>
          <w:i w:val="0"/>
          <w:color w:val="111827"/>
          <w:sz w:val="22"/>
        </w:rPr>
        <w:t>“Gracias por el tiempo. Propongo que revisemos qué queréis hacer crecer, cómo funciona hoy la captación, dónde se pierde valor y si existe encaje. Si no lo hay, lo diremos. Si lo hay, acordaremos datos y siguiente paso. ¿Te parece?”</w:t>
      </w:r>
    </w:p>
    <w:p>
      <w:pPr>
        <w:pStyle w:val="Heading2"/>
      </w:pPr>
      <w:r>
        <w:t>Mapa de situación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Pregunta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Notas</w:t>
            </w:r>
          </w:p>
        </w:tc>
        <w:trPr>
          <w:tblHeader/>
        </w:trPr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¿Qué línea queréis hacer crecer y por qué ahora?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4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¿Qué habéis probado y qué ocurrió?</w:t>
            </w:r>
          </w:p>
        </w:tc>
        <w:tc>
          <w:tcPr>
            <w:tcW w:type="dxa" w:w="5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¿Qué resultado final importa de verdad?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4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¿Qué pasaría si seguís igual seis meses?</w:t>
            </w:r>
          </w:p>
        </w:tc>
        <w:tc>
          <w:tcPr>
            <w:tcW w:type="dxa" w:w="5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Discovery del sistema completo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20"/>
        <w:gridCol w:w="4400"/>
        <w:gridCol w:w="3540"/>
      </w:tblGrid>
      <w:tr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Preguntas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Respuesta / evidencia</w:t>
            </w:r>
          </w:p>
        </w:tc>
        <w:trPr>
          <w:tblHeader/>
        </w:trPr>
      </w:tr>
      <w:tr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Oferta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Servicio, ticket, margen, prioridad y exclusiones.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Capacidad</w:t>
            </w:r>
          </w:p>
        </w:tc>
        <w:tc>
          <w:tcPr>
            <w:tcW w:type="dxa" w:w="4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Agenda, equipo, cobertura, stock y estacionalidad.</w:t>
            </w:r>
          </w:p>
        </w:tc>
        <w:tc>
          <w:tcPr>
            <w:tcW w:type="dxa" w:w="354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Respuesta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Quién responde, SLA, horarios y llamadas perdidas.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Cualificación</w:t>
            </w:r>
          </w:p>
        </w:tc>
        <w:tc>
          <w:tcPr>
            <w:tcW w:type="dxa" w:w="4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Qué debe cumplir y por qué se rechaza.</w:t>
            </w:r>
          </w:p>
        </w:tc>
        <w:tc>
          <w:tcPr>
            <w:tcW w:type="dxa" w:w="354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Conversión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Cita, visita, presupuesto, venta y tiempo de ciclo.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Seguimiento</w:t>
            </w:r>
          </w:p>
        </w:tc>
        <w:tc>
          <w:tcPr>
            <w:tcW w:type="dxa" w:w="4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No contactados, no-shows y propuestas abiertas.</w:t>
            </w:r>
          </w:p>
        </w:tc>
        <w:tc>
          <w:tcPr>
            <w:tcW w:type="dxa" w:w="354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Medición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Eventos, CRM, valor, margen y fuente.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42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Gobierno</w:t>
            </w:r>
          </w:p>
        </w:tc>
        <w:tc>
          <w:tcPr>
            <w:tcW w:type="dxa" w:w="4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Decisor, revisión legal, marca y aprobación.</w:t>
            </w:r>
          </w:p>
        </w:tc>
        <w:tc>
          <w:tcPr>
            <w:tcW w:type="dxa" w:w="354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Scorecard de encaje · 0 a 16</w:t>
      </w:r>
    </w:p>
    <w:p>
      <w:r>
        <w:rPr>
          <w:rFonts w:ascii="Calibri" w:hAnsi="Calibri"/>
          <w:b w:val="0"/>
          <w:i w:val="0"/>
          <w:color w:val="111827"/>
          <w:sz w:val="22"/>
        </w:rPr>
        <w:t>Puntúa 0 si no existe, 1 si es parcial y 2 si es claro y verificable.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600"/>
        <w:gridCol w:w="600"/>
        <w:gridCol w:w="600"/>
        <w:gridCol w:w="5710"/>
      </w:tblGrid>
      <w:t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0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</w:t>
            </w:r>
          </w:p>
        </w:tc>
        <w:trPr>
          <w:tblHeader/>
        </w:trPr>
      </w:tr>
      <w:t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Foco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8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Economía</w:t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Capacidad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8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Velocidad</w:t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Seguimiento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8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Trazabilidad</w:t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Prueba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18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Decisión</w:t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57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E8"/>
          </w:tcPr>
          <w:p>
            <w:r>
              <w:rPr>
                <w:rFonts w:ascii="Calibri" w:hAnsi="Calibri"/>
                <w:b/>
                <w:i w:val="0"/>
                <w:color w:val="FF7A00"/>
                <w:sz w:val="18"/>
              </w:rPr>
              <w:t>INTERPRETACIÓN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0-7: no proponer. 8-12: propuesta condicionada. 13-16: avanzar con plan mutuo y dependencias explícitas.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Economía sin inventar precios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100"/>
        <w:gridCol w:w="3960"/>
      </w:tblGrid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Fuente / fecha</w:t>
            </w:r>
          </w:p>
        </w:tc>
        <w:trPr>
          <w:tblHeader/>
        </w:trPr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Valor medio de venta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Margen de contribución</w:t>
            </w:r>
          </w:p>
        </w:tc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Tasa de contacto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Tasa de cita o visita</w:t>
            </w:r>
          </w:p>
        </w:tc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Tasa de cierre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Tiempo de ciclo</w:t>
            </w:r>
          </w:p>
        </w:tc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Capacidad mensual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Coste máximo defendible</w:t>
            </w:r>
          </w:p>
        </w:tc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F"/>
          </w:tcPr>
          <w:p>
            <w:r>
              <w:rPr>
                <w:rFonts w:ascii="Calibri" w:hAnsi="Calibri"/>
                <w:b/>
                <w:i w:val="0"/>
                <w:color w:val="0B57D0"/>
                <w:sz w:val="18"/>
              </w:rPr>
              <w:t>FUENTE CANÓNICA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Consulta las tarifas vigentes en el Laboratorio económico de la aplicación. Esta plantilla no duplica importes para evitar divergencias.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Pregunta de control</w:t>
      </w:r>
    </w:p>
    <w:p>
      <w:r>
        <w:rPr>
          <w:rFonts w:ascii="Calibri" w:hAnsi="Calibri"/>
          <w:b w:val="0"/>
          <w:i w:val="0"/>
          <w:color w:val="111827"/>
          <w:sz w:val="22"/>
        </w:rPr>
        <w:t>“Si el sistema produce más oportunidades cualificadas, ¿qué parte de vuestra operación limita el crecimiento y quién puede corregirla?”</w:t>
      </w:r>
    </w:p>
    <w:p>
      <w:r>
        <w:br w:type="page"/>
      </w:r>
    </w:p>
    <w:p>
      <w:pPr>
        <w:pStyle w:val="Heading1"/>
      </w:pPr>
      <w:r>
        <w:t>Arquitectura de propuesta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i w:val="0"/>
          <w:color w:val="10213A"/>
          <w:sz w:val="22"/>
        </w:rPr>
        <w:t>Contexto verificado y objetivo prioritario.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13A"/>
          <w:sz w:val="22"/>
        </w:rPr>
        <w:t>Problema comercial y coste de mantenerlo.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13A"/>
          <w:sz w:val="22"/>
        </w:rPr>
        <w:t>Sistema propuesto: demanda, landing, seguimiento, medición y aprendizaje.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i w:val="0"/>
          <w:color w:val="10213A"/>
          <w:sz w:val="22"/>
        </w:rPr>
        <w:t>Alcance y entregables controlables.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13A"/>
          <w:sz w:val="22"/>
        </w:rPr>
        <w:t>Dependencias del cliente: marca, prueba, capacidad, respuesta y datos.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13A"/>
          <w:sz w:val="22"/>
        </w:rPr>
        <w:t>Economía desde la fuente canónica.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i w:val="0"/>
          <w:color w:val="10213A"/>
          <w:sz w:val="22"/>
        </w:rPr>
        <w:t>Riesgos, exclusiones y lo que no se garantiza.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13A"/>
          <w:sz w:val="22"/>
        </w:rPr>
        <w:t>Plan de validación, reglas de parada y fecha de decisión.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r>
              <w:rPr>
                <w:rFonts w:ascii="Calibri" w:hAnsi="Calibri"/>
                <w:b/>
                <w:i w:val="0"/>
                <w:color w:val="138A59"/>
                <w:sz w:val="18"/>
              </w:rPr>
              <w:t>PROMESA CORRECTA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RedVitalia se compromete con el sistema, los entregables, la medición y el proceso de aprendizaje; no garantiza ventas ni resultados que dependan del cliente o del mercado.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Plan de acción mutuo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900"/>
        <w:gridCol w:w="1400"/>
        <w:gridCol w:w="3260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Hito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 de cierre</w:t>
            </w:r>
          </w:p>
        </w:tc>
        <w:trPr>
          <w:tblHeader/>
        </w:trPr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Datos operativos entregados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Marca y prueba autorizadas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Medición y CRM validados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Propuesta revisada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Decisión comercial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Kickoff condicionado a aprobación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1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3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Personas que deben validar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00"/>
        <w:gridCol w:w="4660"/>
      </w:tblGrid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decide</w:t>
            </w:r>
          </w:p>
        </w:tc>
        <w:trPr>
          <w:tblHeader/>
        </w:trPr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Decisor económico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Responsable comercial</w:t>
            </w:r>
          </w:p>
        </w:tc>
        <w:tc>
          <w:tcPr>
            <w:tcW w:type="dxa" w:w="2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4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Responsable operativo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Marca / legal / privacidad</w:t>
            </w:r>
          </w:p>
        </w:tc>
        <w:tc>
          <w:tcPr>
            <w:tcW w:type="dxa" w:w="2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  <w:tc>
          <w:tcPr>
            <w:tcW w:type="dxa" w:w="4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Objeciones: respuesta diagnóstica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Objeción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Explora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 de salida</w:t>
            </w:r>
          </w:p>
        </w:tc>
        <w:trPr>
          <w:tblHeader/>
        </w:trPr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Es caro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¿Comparado con qué coste o alternativa? ¿Qué margen soporta adquisición?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No descontar sin cambiar alcance o condiciones.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Ya tengo agencia</w:t>
            </w:r>
          </w:p>
        </w:tc>
        <w:tc>
          <w:tcPr>
            <w:tcW w:type="dxa" w:w="4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¿Qué mide, qué funciona y dónde termina su responsabilidad?</w:t>
            </w:r>
          </w:p>
        </w:tc>
        <w:tc>
          <w:tcPr>
            <w:tcW w:type="dxa" w:w="2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No atacar al proveedor; identificar hueco real.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Los leads son malos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Separar origen, filtro, contacto, cita, seguimiento y cierre.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No aceptar culpa genérica sin datos.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Quiero garantía</w:t>
            </w:r>
          </w:p>
        </w:tc>
        <w:tc>
          <w:tcPr>
            <w:tcW w:type="dxa" w:w="4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Distinguir entregables controlables de ventas dependientes del negocio.</w:t>
            </w:r>
          </w:p>
        </w:tc>
        <w:tc>
          <w:tcPr>
            <w:tcW w:type="dxa" w:w="2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Rechazar garantías de resultado.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Lo tengo que pensar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¿Qué dato, riesgo o persona falta para decidir?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Acordar fecha y criterio; no perseguir sin motivo.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Mándame propuesta</w:t>
            </w:r>
          </w:p>
        </w:tc>
        <w:tc>
          <w:tcPr>
            <w:tcW w:type="dxa" w:w="4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¿Qué debería incluir para que podáis decidir?</w:t>
            </w:r>
          </w:p>
        </w:tc>
        <w:tc>
          <w:tcPr>
            <w:tcW w:type="dxa" w:w="2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No enviar plantilla ciega.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Go / no-go</w:t>
      </w:r>
    </w:p>
    <w:p>
      <w:pPr>
        <w:pStyle w:val="Heading2"/>
      </w:pPr>
      <w:r>
        <w:t>Avanzar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 para avanzar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</w:t>
            </w:r>
          </w:p>
        </w:tc>
        <w:trPr>
          <w:tblHeader/>
        </w:trPr>
      </w:tr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Hay prioridad y servicio específico.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Existe capacidad y responsable de respuesta.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La economía es defendible.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Se puede medir un resultado final.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El decisor participa y existe fecha.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No avanzar todavía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Señal de parada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Condición para reabrir</w:t>
            </w:r>
          </w:p>
        </w:tc>
        <w:trPr>
          <w:tblHeader/>
        </w:trPr>
      </w:tr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Pide promesas o prácticas no defendibles.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No puede absorber demanda ni corregir respuesta.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No compartirá resultado, valor o estado.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No hay material, prueba o revisión requerida.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  <w:tr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Solo quiere comparar sin proceso de decisión.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E8"/>
          </w:tcPr>
          <w:p>
            <w:r>
              <w:rPr>
                <w:rFonts w:ascii="Calibri" w:hAnsi="Calibri"/>
                <w:b/>
                <w:i w:val="0"/>
                <w:color w:val="FF7A00"/>
                <w:sz w:val="18"/>
              </w:rPr>
              <w:t>DECISIÓN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Resultado: AVANZAR / CONDICIONAR / DESCARTAR. Motivo verificable: ____________________. Próximo paso y fecha: ____________________.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Recap listo para enviar</w:t>
      </w:r>
    </w:p>
    <w:p>
      <w:r>
        <w:rPr>
          <w:rFonts w:ascii="Calibri" w:hAnsi="Calibri"/>
          <w:b w:val="0"/>
          <w:i w:val="0"/>
          <w:color w:val="111827"/>
          <w:sz w:val="22"/>
        </w:rPr>
        <w:t>Asunto: Resumen y próximos pasos · {empresa} × RedVitalia</w:t>
      </w:r>
    </w:p>
    <w:p>
      <w:r>
        <w:rPr>
          <w:rFonts w:ascii="Calibri" w:hAnsi="Calibri"/>
          <w:b w:val="0"/>
          <w:i w:val="0"/>
          <w:color w:val="111827"/>
          <w:sz w:val="22"/>
        </w:rPr>
        <w:t>Hola, {nombre}. Resumo lo acordado para confirmar que estamos alineados: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0213A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Resumen</w:t>
            </w:r>
          </w:p>
        </w:tc>
        <w:trPr>
          <w:tblHeader/>
        </w:trPr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Objetivo prioritario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{…}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Situación y cuello de botella</w:t>
            </w:r>
          </w:p>
        </w:tc>
        <w:tc>
          <w:tcPr>
            <w:tcW w:type="dxa" w:w="6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{…}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Capacidad y límites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{…}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Dato o evidencia pendiente</w:t>
            </w:r>
          </w:p>
        </w:tc>
        <w:tc>
          <w:tcPr>
            <w:tcW w:type="dxa" w:w="6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{…}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Preparará RedVitalia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{…}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Preparará el cliente</w:t>
            </w:r>
          </w:p>
        </w:tc>
        <w:tc>
          <w:tcPr>
            <w:tcW w:type="dxa" w:w="6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{…}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63B55"/>
                <w:sz w:val="18"/>
              </w:rPr>
              <w:t>Siguiente reunión o decisión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3B55"/>
                <w:sz w:val="18"/>
              </w:rPr>
              <w:t>{fecha, participantes y criterio}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11827"/>
          <w:sz w:val="22"/>
        </w:rPr>
        <w:t>Si algo no refleja la conversación, respóndeme sobre este mismo correo y lo corregimos antes de avanzar.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r>
              <w:rPr>
                <w:rFonts w:ascii="Calibri" w:hAnsi="Calibri"/>
                <w:b/>
                <w:i w:val="0"/>
                <w:color w:val="138A59"/>
                <w:sz w:val="18"/>
              </w:rPr>
              <w:t>CIERRE LIMPIO</w:t>
              <w:br/>
            </w:r>
            <w:r>
              <w:rPr>
                <w:rFonts w:ascii="Calibri" w:hAnsi="Calibri"/>
                <w:b/>
                <w:i w:val="0"/>
                <w:color w:val="10213A"/>
                <w:sz w:val="22"/>
              </w:rPr>
              <w:t>No dejes una reunión en “te digo algo”. Toda oportunidad termina en fecha, responsable y criterio de decisión.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07089"/>
        <w:sz w:val="16"/>
      </w:rPr>
      <w:t>Material interno · revisión humana obligatoria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07089"/>
        <w:sz w:val="17"/>
      </w:rPr>
      <w:t>REDVITALIA  ·  CLOSER ·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C24B6F85"/>
    <w:multiLevelType w:val="singleLevel"/>
    <w:lvl w:ilvl="0">
      <w:start w:val="1"/>
      <w:numFmt w:val="bullet"/>
      <w:lvlText w:val="-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nsid w:val="A8F7524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57D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57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1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