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80" w:after="360"/>
        <w:jc w:val="center"/>
      </w:pPr>
      <w:r>
        <w:rPr>
          <w:rFonts w:ascii="Calibri" w:hAnsi="Calibri"/>
          <w:b/>
          <w:color w:val="0B57D0"/>
          <w:sz w:val="20"/>
        </w:rPr>
        <w:t>KIT COMERCIAL B2B</w:t>
      </w:r>
    </w:p>
    <w:p>
      <w:pPr>
        <w:spacing w:after="240"/>
        <w:jc w:val="center"/>
      </w:pPr>
      <w:r>
        <w:rPr>
          <w:rFonts w:ascii="Calibri" w:hAnsi="Calibri"/>
          <w:b/>
          <w:color w:val="10213A"/>
          <w:sz w:val="60"/>
        </w:rPr>
        <w:t>Manual del closer RedVitalia</w:t>
      </w:r>
    </w:p>
    <w:p>
      <w:pPr>
        <w:spacing w:after="880"/>
        <w:jc w:val="center"/>
      </w:pPr>
      <w:r>
        <w:rPr>
          <w:rFonts w:ascii="Calibri" w:hAnsi="Calibri"/>
          <w:color w:val="607089"/>
          <w:sz w:val="30"/>
        </w:rPr>
        <w:t>Cómo diagnosticar, presentar y cerrar clientes que contratarán a RedVitalia para gestionar su captación.</w:t>
      </w:r>
    </w:p>
    <w:p>
      <w:pPr>
        <w:spacing w:after="320"/>
        <w:jc w:val="center"/>
      </w:pPr>
      <w:r>
        <w:rPr>
          <w:rFonts w:ascii="Calibri" w:hAnsi="Calibri"/>
          <w:b/>
          <w:color w:val="0B57D0"/>
          <w:sz w:val="36"/>
        </w:rPr>
        <w:t>REDVITALIA</w:t>
      </w:r>
    </w:p>
    <w:p>
      <w:pPr>
        <w:jc w:val="center"/>
      </w:pPr>
      <w:r>
        <w:rPr>
          <w:rFonts w:ascii="Calibri" w:hAnsi="Calibri"/>
          <w:i/>
          <w:color w:val="607089"/>
          <w:sz w:val="21"/>
        </w:rPr>
        <w:t>Para closers y responsables de venta consultiva</w:t>
      </w:r>
    </w:p>
    <w:p>
      <w:r>
        <w:br w:type="page"/>
      </w:r>
    </w:p>
    <w:p>
      <w:pPr>
        <w:pStyle w:val="Heading1"/>
      </w:pPr>
      <w:r>
        <w:t>1. La función del closer</w:t>
      </w:r>
    </w:p>
    <w:p>
      <w:pPr>
        <w:keepLines/>
        <w:spacing w:before="80" w:after="120" w:line="259" w:lineRule="auto"/>
        <w:ind w:left="173" w:right="173"/>
        <w:shd w:fill="E8EEF5"/>
        <w:pBdr>
          <w:left w:val="single" w:sz="18" w:space="8" w:color="0B57D0"/>
        </w:pBdr>
      </w:pPr>
      <w:r>
        <w:rPr>
          <w:rFonts w:ascii="Calibri" w:hAnsi="Calibri"/>
          <w:b/>
          <w:color w:val="0B57D0"/>
          <w:sz w:val="17"/>
        </w:rPr>
        <w:t>CRITERIO</w:t>
        <w:br/>
      </w:r>
      <w:r>
        <w:rPr>
          <w:rFonts w:ascii="Calibri" w:hAnsi="Calibri"/>
          <w:color w:val="111827"/>
          <w:sz w:val="20"/>
        </w:rPr>
        <w:t>El closer no vende campañas. Decide con el prospecto si existe un sistema de captación defendible: oferta, capacidad, margen, seguimiento, medición y condiciones de prueba.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Convertir interés inicial en un diagnóstico económico y operativo.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Presentar solo lo que responde al problema confirmado.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Proteger a RedVitalia de clientes sin capacidad, margen o integridad.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Cerrar una decisión concreta: avanzar, completar un dato o descartar.</w:t>
      </w:r>
    </w:p>
    <w:p>
      <w:pPr>
        <w:pStyle w:val="Heading1"/>
      </w:pPr>
      <w:r>
        <w:t>2. Información mínima antes de la reunión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10213A"/>
                <w:sz w:val="20"/>
              </w:rPr>
              <w:t>Bloque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10213A"/>
                <w:sz w:val="20"/>
              </w:rPr>
              <w:t>Información de handoff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Empresa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Vertical, servicio, web, zona y decisor.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Motivo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Dolor expresado en la llamada, no una interpretación del caller.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Capacidad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Señal inicial de agenda, equipo, cobertura o volumen.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Sistema actual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Canales, agencia, formularios, CRM o seguimiento conocido.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Riesgos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Promesas solicitadas, urgencia artificial o falta de trazabilidad.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Objetivo de reunión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Pregunta que debe quedar resuelta para decidir el siguiente paso.</w:t>
            </w:r>
          </w:p>
        </w:tc>
      </w:tr>
    </w:tbl>
    <w:p>
      <w:pPr>
        <w:spacing w:after="40"/>
      </w:pPr>
    </w:p>
    <w:p>
      <w:pPr>
        <w:pStyle w:val="Heading1"/>
      </w:pPr>
      <w:r>
        <w:t>3. Agenda de una reunión consultiva</w:t>
      </w:r>
    </w:p>
    <w:p>
      <w:pPr>
        <w:numPr>
          <w:ilvl w:val="0"/>
          <w:numId w:val="11"/>
        </w:numPr>
      </w:pPr>
      <w:r>
        <w:rPr>
          <w:rFonts w:ascii="Calibri" w:hAnsi="Calibri"/>
        </w:rPr>
        <w:t>Acordar propósito y resultado de la conversación.</w:t>
      </w:r>
    </w:p>
    <w:p>
      <w:pPr>
        <w:numPr>
          <w:ilvl w:val="0"/>
          <w:numId w:val="11"/>
        </w:numPr>
      </w:pPr>
      <w:r>
        <w:rPr>
          <w:rFonts w:ascii="Calibri" w:hAnsi="Calibri"/>
        </w:rPr>
        <w:t>Entender oferta, cliente, zona, economía y capacidad.</w:t>
      </w:r>
    </w:p>
    <w:p>
      <w:pPr>
        <w:numPr>
          <w:ilvl w:val="0"/>
          <w:numId w:val="11"/>
        </w:numPr>
      </w:pPr>
      <w:r>
        <w:rPr>
          <w:rFonts w:ascii="Calibri" w:hAnsi="Calibri"/>
        </w:rPr>
        <w:t>Localizar dónde se pierde hoy la demanda.</w:t>
      </w:r>
    </w:p>
    <w:p>
      <w:pPr>
        <w:numPr>
          <w:ilvl w:val="0"/>
          <w:numId w:val="11"/>
        </w:numPr>
      </w:pPr>
      <w:r>
        <w:rPr>
          <w:rFonts w:ascii="Calibri" w:hAnsi="Calibri"/>
        </w:rPr>
        <w:t>Mostrar el sistema RedVitalia que responde a ese problema.</w:t>
      </w:r>
    </w:p>
    <w:p>
      <w:pPr>
        <w:numPr>
          <w:ilvl w:val="0"/>
          <w:numId w:val="11"/>
        </w:numPr>
      </w:pPr>
      <w:r>
        <w:rPr>
          <w:rFonts w:ascii="Calibri" w:hAnsi="Calibri"/>
        </w:rPr>
        <w:t>Definir condiciones de entrada y datos pendientes.</w:t>
      </w:r>
    </w:p>
    <w:p>
      <w:pPr>
        <w:numPr>
          <w:ilvl w:val="0"/>
          <w:numId w:val="11"/>
        </w:numPr>
      </w:pPr>
      <w:r>
        <w:rPr>
          <w:rFonts w:ascii="Calibri" w:hAnsi="Calibri"/>
        </w:rPr>
        <w:t>Cerrar decisión y siguiente paso con fecha.</w:t>
      </w:r>
    </w:p>
    <w:p>
      <w:pPr>
        <w:keepLines/>
        <w:spacing w:before="80" w:after="120" w:line="259" w:lineRule="auto"/>
        <w:ind w:left="173" w:right="173"/>
        <w:shd w:fill="E8EEF5"/>
        <w:pBdr>
          <w:left w:val="single" w:sz="18" w:space="8" w:color="0B57D0"/>
        </w:pBdr>
      </w:pPr>
      <w:r>
        <w:rPr>
          <w:rFonts w:ascii="Calibri" w:hAnsi="Calibri"/>
          <w:b/>
          <w:color w:val="0B57D0"/>
          <w:sz w:val="17"/>
        </w:rPr>
        <w:t>APERTURA DE REUNIÓN</w:t>
        <w:br/>
      </w:r>
      <w:r>
        <w:rPr>
          <w:rFonts w:ascii="Calibri" w:hAnsi="Calibri"/>
          <w:color w:val="111827"/>
          <w:sz w:val="20"/>
        </w:rPr>
        <w:t>Quiero entender primero cómo entra y se convierte hoy una oportunidad. Si vemos encaje, te enseño cómo lo estructuraríamos. Si no existe margen o capacidad suficiente, lo dejamos claro antes de hablar de una prueba.</w:t>
      </w:r>
    </w:p>
    <w:p>
      <w:pPr>
        <w:pStyle w:val="Heading1"/>
      </w:pPr>
      <w:r>
        <w:t>4. Discovery: preguntas que cambian la decisión</w:t>
      </w:r>
    </w:p>
    <w:p>
      <w:pPr>
        <w:pStyle w:val="Heading2"/>
      </w:pPr>
      <w:r>
        <w:t>Oferta y mercado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¿Qué servicio queréis hacer crecer y por qué ahora?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¿Qué cliente aporta mejor margen y cuál no queréis?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¿Qué os diferencia de alternativas locales?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¿Qué prueba real podéis enseñar con autorización?</w:t>
      </w:r>
    </w:p>
    <w:p>
      <w:pPr>
        <w:pStyle w:val="Heading2"/>
      </w:pPr>
      <w:r>
        <w:t>Capacidad comercial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¿Quién responde al primer contacto y en cuánto tiempo?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¿Cuántas citas o visitas nuevas podéis atender?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¿Qué ocurre con un no-show o presupuesto abierto?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¿Dónde se registra cada etapa?</w:t>
      </w:r>
    </w:p>
    <w:p>
      <w:pPr>
        <w:pStyle w:val="Heading2"/>
      </w:pPr>
      <w:r>
        <w:t>Economía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¿Cuál es el ticket y margen del servicio prioritario?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¿Cuántas ventas justifican la inversión?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¿Qué costes adicionales existen en atención, desplazamiento o tecnología?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¿Qué dato es real y cuál sigue siendo una hipótesis?</w:t>
      </w:r>
    </w:p>
    <w:p>
      <w:pPr>
        <w:pStyle w:val="Heading2"/>
      </w:pPr>
      <w:r>
        <w:t>Medición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¿Qué consideráis lead, oportunidad, cita y venta?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¿Podemos devolver el resultado y su valor a la campaña?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¿Qué motivos de pérdida registráis?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¿Cuándo tendría sentido pausar?</w:t>
      </w:r>
    </w:p>
    <w:p>
      <w:pPr>
        <w:pStyle w:val="Heading1"/>
      </w:pPr>
      <w:r>
        <w:t>5. Scorecard de encaje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10213A"/>
                <w:sz w:val="20"/>
              </w:rPr>
              <w:t>Dimensión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10213A"/>
                <w:sz w:val="20"/>
              </w:rPr>
              <w:t>Señal de encaje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Oferta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Existe un servicio prioritario y comprensible.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Margen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La economía admite captación y seguimiento.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Capacidad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Puede atender volumen incremental sin deteriorar la experiencia.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Velocidad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Hay una respuesta y seguimiento compatibles con la intención.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Prueba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Existen activos reales, autorizados y verificables.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Medición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Puede registrar etapas y resultado final.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Integridad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Acepta límites de claims, publicidad y protección de datos.</w:t>
            </w:r>
          </w:p>
        </w:tc>
      </w:tr>
    </w:tbl>
    <w:p>
      <w:pPr>
        <w:spacing w:after="40"/>
      </w:pPr>
    </w:p>
    <w:p>
      <w:pPr>
        <w:keepLines/>
        <w:spacing w:before="80" w:after="120" w:line="259" w:lineRule="auto"/>
        <w:ind w:left="173" w:right="173"/>
        <w:shd w:fill="FCEBEC"/>
        <w:pBdr>
          <w:left w:val="single" w:sz="18" w:space="8" w:color="B23A48"/>
        </w:pBdr>
      </w:pPr>
      <w:r>
        <w:rPr>
          <w:rFonts w:ascii="Calibri" w:hAnsi="Calibri"/>
          <w:b/>
          <w:color w:val="B23A48"/>
          <w:sz w:val="17"/>
        </w:rPr>
        <w:t>DECISIÓN</w:t>
        <w:br/>
      </w:r>
      <w:r>
        <w:rPr>
          <w:rFonts w:ascii="Calibri" w:hAnsi="Calibri"/>
          <w:color w:val="111827"/>
          <w:sz w:val="20"/>
        </w:rPr>
        <w:t>Si fallan margen, capacidad, medición o integridad, no se presenta la prueba como si estuviera lista. Se convierte el fallo en una condición previa o se descarta.</w:t>
      </w:r>
    </w:p>
    <w:p>
      <w:pPr>
        <w:pStyle w:val="Heading1"/>
      </w:pPr>
      <w:r>
        <w:t>6. Cómo usar la presentación comercial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10213A"/>
                <w:sz w:val="20"/>
              </w:rPr>
              <w:t>Diapositivas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10213A"/>
                <w:sz w:val="20"/>
              </w:rPr>
              <w:t>Trabajo del closer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1–2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Abrir con el problema confirmado: volumen sin conexión con ventas.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3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Validar oferta, capacidad, margen y medición.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4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Explicar el recorrido completo sin entrar aún en tácticas.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5–7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Aterrizar foco, piezas y cualificación en la vertical del prospecto.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8–10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Definir puertas de prueba, métricas y condiciones del negocio.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11–12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Completar diagnóstico y cerrar siguiente decisión.</w:t>
            </w:r>
          </w:p>
        </w:tc>
      </w:tr>
    </w:tbl>
    <w:p>
      <w:pPr>
        <w:spacing w:after="40"/>
      </w:pPr>
    </w:p>
    <w:p>
      <w:pPr>
        <w:keepLines/>
        <w:spacing w:before="80" w:after="120" w:line="259" w:lineRule="auto"/>
        <w:ind w:left="173" w:right="173"/>
        <w:shd w:fill="E8EEF5"/>
        <w:pBdr>
          <w:left w:val="single" w:sz="18" w:space="8" w:color="0B57D0"/>
        </w:pBdr>
      </w:pPr>
      <w:r>
        <w:rPr>
          <w:rFonts w:ascii="Calibri" w:hAnsi="Calibri"/>
          <w:b/>
          <w:color w:val="0B57D0"/>
          <w:sz w:val="17"/>
        </w:rPr>
        <w:t>USO</w:t>
        <w:br/>
      </w:r>
      <w:r>
        <w:rPr>
          <w:rFonts w:ascii="Calibri" w:hAnsi="Calibri"/>
          <w:color w:val="111827"/>
          <w:sz w:val="20"/>
        </w:rPr>
        <w:t>No leas la presentación. Selecciona las diapositivas que responden al problema expresado y vuelve continuamente a las palabras del prospecto.</w:t>
      </w:r>
    </w:p>
    <w:p>
      <w:pPr>
        <w:pStyle w:val="Heading1"/>
      </w:pPr>
      <w:r>
        <w:t>7. Presentar la solución sin sobredimensionarla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Una vertical, un servicio prioritario y una zona inicial.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Una definición firmada de oportunidad válida e inválida.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Campaña, landing, creatividad, cualificación y seguimiento conectados.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Un resultado final que el negocio pueda devolver.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Puertas previas de marca, legal, CRM, capacidad y aprobación humana.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Reglas explícitas para corregir, pausar o escalar.</w:t>
      </w:r>
    </w:p>
    <w:p>
      <w:pPr>
        <w:pStyle w:val="Heading1"/>
      </w:pPr>
      <w:r>
        <w:t>8. Hablar de inversión</w:t>
      </w:r>
    </w:p>
    <w:p>
      <w:pPr>
        <w:keepLines/>
        <w:spacing w:before="80" w:after="120" w:line="259" w:lineRule="auto"/>
        <w:ind w:left="173" w:right="173"/>
        <w:shd w:fill="E8EEF5"/>
        <w:pBdr>
          <w:left w:val="single" w:sz="18" w:space="8" w:color="0B57D0"/>
        </w:pBdr>
      </w:pPr>
      <w:r>
        <w:rPr>
          <w:rFonts w:ascii="Calibri" w:hAnsi="Calibri"/>
          <w:b/>
          <w:color w:val="0B57D0"/>
          <w:sz w:val="17"/>
        </w:rPr>
        <w:t>REGLA DE PRECIO</w:t>
        <w:br/>
      </w:r>
      <w:r>
        <w:rPr>
          <w:rFonts w:ascii="Calibri" w:hAnsi="Calibri"/>
          <w:color w:val="111827"/>
          <w:sz w:val="20"/>
        </w:rPr>
        <w:t>La tarifa, activación, impuestos y cualquier condición económica deben salir de la fuente canónica vigente. El closer no recuerda ni improvisa precios.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Separar fee, inversión publicitaria y costes operativos del cliente.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Mostrar qué supuestos son datos reales y cuáles deben validarse.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Calcular el punto de equilibrio con el prospecto, no vender un escenario favorable como previsión.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No reducir precio para compensar falta de encaje.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No ocultar que creatividad, marca, CRM o seguimiento pueden requerir preparación.</w:t>
      </w:r>
    </w:p>
    <w:p>
      <w:pPr>
        <w:pStyle w:val="Heading1"/>
      </w:pPr>
      <w:r>
        <w:t>9. Objeciones del closer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10213A"/>
                <w:sz w:val="20"/>
              </w:rPr>
              <w:t>Objeción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10213A"/>
                <w:sz w:val="20"/>
              </w:rPr>
              <w:t>Respuesta de negocio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'Es caro'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Comparar contra margen, capacidad y coste de no convertir; si no hay economía, no avanzar.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'Otra agencia cobra menos'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Comparar alcance, definición de resultado y trazabilidad; no competir con una lista de tareas.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'Quiero probar un mes'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Acordar un periodo suficiente para preparar, lanzar y observar la conversión real; no prometer aprendizaje imposible.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'Garantizadme ventas'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Ofrecer condiciones y entregables controlables. Venta, sentencia o resultado clínico no son garantías válidas.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'No quiero CRM'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Sin devolución del resultado, la campaña no puede aprender qué demanda crea valor.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'Mis comerciales no tienen tiempo'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Entonces falta capacidad. Resolverlo antes de aumentar demanda.</w:t>
            </w:r>
          </w:p>
        </w:tc>
      </w:tr>
    </w:tbl>
    <w:p>
      <w:pPr>
        <w:spacing w:after="40"/>
      </w:pPr>
    </w:p>
    <w:p>
      <w:pPr>
        <w:pStyle w:val="Heading1"/>
      </w:pPr>
      <w:r>
        <w:t>10. Cierres correctos</w:t>
      </w:r>
    </w:p>
    <w:p>
      <w:pPr>
        <w:pStyle w:val="Heading2"/>
      </w:pPr>
      <w:r>
        <w:t>Cierre para avanzar</w:t>
      </w:r>
    </w:p>
    <w:p>
      <w:pPr>
        <w:keepLines/>
        <w:spacing w:before="80" w:after="120" w:line="259" w:lineRule="auto"/>
        <w:ind w:left="173" w:right="173"/>
        <w:shd w:fill="E8EEF5"/>
        <w:pBdr>
          <w:left w:val="single" w:sz="18" w:space="8" w:color="0B57D0"/>
        </w:pBdr>
      </w:pPr>
      <w:r>
        <w:rPr>
          <w:rFonts w:ascii="Calibri" w:hAnsi="Calibri"/>
          <w:b/>
          <w:color w:val="0B57D0"/>
          <w:sz w:val="17"/>
        </w:rPr>
        <w:t>FRASE</w:t>
        <w:br/>
      </w:r>
      <w:r>
        <w:rPr>
          <w:rFonts w:ascii="Calibri" w:hAnsi="Calibri"/>
          <w:color w:val="111827"/>
          <w:sz w:val="20"/>
        </w:rPr>
        <w:t>Veo encaje en [servicio] y [zona], siempre que confirmemos [condición]. El siguiente paso es preparar una propuesta con alcance, inversión desde la fuente vigente, puerta de lanzamiento y métricas. ¿La revisamos el [fecha]?</w:t>
      </w:r>
    </w:p>
    <w:p>
      <w:pPr>
        <w:pStyle w:val="Heading2"/>
      </w:pPr>
      <w:r>
        <w:t>Cierre condicionado</w:t>
      </w:r>
    </w:p>
    <w:p>
      <w:pPr>
        <w:keepLines/>
        <w:spacing w:before="80" w:after="120" w:line="259" w:lineRule="auto"/>
        <w:ind w:left="173" w:right="173"/>
        <w:shd w:fill="FEF3D6"/>
        <w:pBdr>
          <w:left w:val="single" w:sz="18" w:space="8" w:color="C68111"/>
        </w:pBdr>
      </w:pPr>
      <w:r>
        <w:rPr>
          <w:rFonts w:ascii="Calibri" w:hAnsi="Calibri"/>
          <w:b/>
          <w:color w:val="C68111"/>
          <w:sz w:val="17"/>
        </w:rPr>
        <w:t>FRASE</w:t>
        <w:br/>
      </w:r>
      <w:r>
        <w:rPr>
          <w:rFonts w:ascii="Calibri" w:hAnsi="Calibri"/>
          <w:color w:val="111827"/>
          <w:sz w:val="20"/>
        </w:rPr>
        <w:t>Todavía no puedo recomendar una prueba porque falta [dato]. Si lo obtenemos antes del [fecha], podremos decidir con números. Si no, lo dejamos en pausa.</w:t>
      </w:r>
    </w:p>
    <w:p>
      <w:pPr>
        <w:pStyle w:val="Heading2"/>
      </w:pPr>
      <w:r>
        <w:t>Cierre de descarte</w:t>
      </w:r>
    </w:p>
    <w:p>
      <w:pPr>
        <w:keepLines/>
        <w:spacing w:before="80" w:after="120" w:line="259" w:lineRule="auto"/>
        <w:ind w:left="173" w:right="173"/>
        <w:shd w:fill="FCEBEC"/>
        <w:pBdr>
          <w:left w:val="single" w:sz="18" w:space="8" w:color="B23A48"/>
        </w:pBdr>
      </w:pPr>
      <w:r>
        <w:rPr>
          <w:rFonts w:ascii="Calibri" w:hAnsi="Calibri"/>
          <w:b/>
          <w:color w:val="B23A48"/>
          <w:sz w:val="17"/>
        </w:rPr>
        <w:t>FRASE</w:t>
        <w:br/>
      </w:r>
      <w:r>
        <w:rPr>
          <w:rFonts w:ascii="Calibri" w:hAnsi="Calibri"/>
          <w:color w:val="111827"/>
          <w:sz w:val="20"/>
        </w:rPr>
        <w:t>Con la capacidad/margen/medición actual, aumentar demanda podría empeorar el problema. Prefiero no proponerte campañas todavía. Si cambia [condición], retomamos.</w:t>
      </w:r>
    </w:p>
    <w:p>
      <w:pPr>
        <w:pStyle w:val="Heading1"/>
      </w:pPr>
      <w:r>
        <w:t>11. Propuesta y seguimiento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Enviar un resumen del problema en palabras del prospecto.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Definir alcance, exclusiones y resultado principal.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Incluir condiciones previas y datos pendientes.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Usar únicamente precio canónico vigente.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Fijar fecha de decisión; no enviar y desaparecer.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Registrar motivo real de aceptación, pausa o pérdida.</w:t>
      </w:r>
    </w:p>
    <w:p>
      <w:pPr>
        <w:keepLines/>
        <w:spacing w:before="80" w:after="120" w:line="259" w:lineRule="auto"/>
        <w:ind w:left="173" w:right="173"/>
        <w:shd w:fill="E8EEF5"/>
        <w:pBdr>
          <w:left w:val="single" w:sz="18" w:space="8" w:color="0B57D0"/>
        </w:pBdr>
      </w:pPr>
      <w:r>
        <w:rPr>
          <w:rFonts w:ascii="Calibri" w:hAnsi="Calibri"/>
          <w:b/>
          <w:color w:val="0B57D0"/>
          <w:sz w:val="17"/>
        </w:rPr>
        <w:t>EMAIL POSTERIOR</w:t>
        <w:br/>
      </w:r>
      <w:r>
        <w:rPr>
          <w:rFonts w:ascii="Calibri" w:hAnsi="Calibri"/>
          <w:color w:val="111827"/>
          <w:sz w:val="20"/>
        </w:rPr>
        <w:t>Asunto: Decisión sobre captación de [servicio]. Hola, [nombre]. Resumo lo acordado: queréis mejorar [resultado], hoy el principal bloqueo es [problema] y existe capacidad para [capacidad]. Prepararemos/No prepararemos una propuesta porque [motivo]. El siguiente paso es [acción] antes del [fecha].</w:t>
      </w:r>
    </w:p>
    <w:p>
      <w:r>
        <w:br w:type="page"/>
      </w:r>
    </w:p>
    <w:p>
      <w:pPr>
        <w:pStyle w:val="Heading1"/>
      </w:pPr>
      <w:r>
        <w:t>12. Señales de decisión por vertical</w:t>
      </w:r>
    </w:p>
    <w:p>
      <w:pPr>
        <w:pStyle w:val="Heading2"/>
      </w:pPr>
      <w:r>
        <w:t>Ley de Segunda Oportunidad</w:t>
      </w:r>
    </w:p>
    <w:p>
      <w:r>
        <w:rPr>
          <w:rFonts w:ascii="Calibri" w:hAnsi="Calibri"/>
        </w:rPr>
        <w:t>No vendemos formularios: conectamos intención, precalificación, consulta y resultado del despacho.</w:t>
      </w:r>
    </w:p>
    <w:p>
      <w:r>
        <w:rPr>
          <w:rFonts w:ascii="Calibri" w:hAnsi="Calibri"/>
          <w:b/>
          <w:color w:val="10213A"/>
        </w:rPr>
        <w:t>Condición crítica:</w:t>
      </w:r>
      <w:r>
        <w:rPr>
          <w:rFonts w:ascii="Calibri" w:hAnsi="Calibri"/>
        </w:rPr>
        <w:t xml:space="preserve"> No avanzar si exigen prometer cancelación de deuda, no tienen agenda o no pueden devolver el resultado.</w:t>
      </w:r>
    </w:p>
    <w:p>
      <w:pPr>
        <w:pStyle w:val="Heading2"/>
      </w:pPr>
      <w:r>
        <w:t>Herencias</w:t>
      </w:r>
    </w:p>
    <w:p>
      <w:r>
        <w:rPr>
          <w:rFonts w:ascii="Calibri" w:hAnsi="Calibri"/>
        </w:rPr>
        <w:t>Separar la casuística mejora el mensaje y evita mezclar consultas con economías distintas.</w:t>
      </w:r>
    </w:p>
    <w:p>
      <w:r>
        <w:rPr>
          <w:rFonts w:ascii="Calibri" w:hAnsi="Calibri"/>
          <w:b/>
          <w:color w:val="10213A"/>
        </w:rPr>
        <w:t>Condición crítica:</w:t>
      </w:r>
      <w:r>
        <w:rPr>
          <w:rFonts w:ascii="Calibri" w:hAnsi="Calibri"/>
        </w:rPr>
        <w:t xml:space="preserve"> No avanzar si buscan volumen genérico, no pueden revisar documentación o quieren prometer resultados.</w:t>
      </w:r>
    </w:p>
    <w:p>
      <w:pPr>
        <w:pStyle w:val="Heading2"/>
      </w:pPr>
      <w:r>
        <w:t>Divorcios</w:t>
      </w:r>
    </w:p>
    <w:p>
      <w:r>
        <w:rPr>
          <w:rFonts w:ascii="Calibri" w:hAnsi="Calibri"/>
        </w:rPr>
        <w:t>Una campaña por modalidad, con mensajes prudentes y medición hasta asunto aceptado.</w:t>
      </w:r>
    </w:p>
    <w:p>
      <w:r>
        <w:rPr>
          <w:rFonts w:ascii="Calibri" w:hAnsi="Calibri"/>
          <w:b/>
          <w:color w:val="10213A"/>
        </w:rPr>
        <w:t>Condición crítica:</w:t>
      </w:r>
      <w:r>
        <w:rPr>
          <w:rFonts w:ascii="Calibri" w:hAnsi="Calibri"/>
        </w:rPr>
        <w:t xml:space="preserve"> No avanzar si mezclan todas las áreas o esperan mensajes basados en miedo o promesas judiciales.</w:t>
      </w:r>
    </w:p>
    <w:p>
      <w:pPr>
        <w:pStyle w:val="Heading2"/>
      </w:pPr>
      <w:r>
        <w:t>Pérgolas, cerramientos y toldos premium</w:t>
      </w:r>
    </w:p>
    <w:p>
      <w:r>
        <w:rPr>
          <w:rFonts w:ascii="Calibri" w:hAnsi="Calibri"/>
        </w:rPr>
        <w:t>Filtrar producto, medidas, zona, presupuesto y plazo antes de consumir una visita.</w:t>
      </w:r>
    </w:p>
    <w:p>
      <w:r>
        <w:rPr>
          <w:rFonts w:ascii="Calibri" w:hAnsi="Calibri"/>
          <w:b/>
          <w:color w:val="10213A"/>
        </w:rPr>
        <w:t>Condición crítica:</w:t>
      </w:r>
      <w:r>
        <w:rPr>
          <w:rFonts w:ascii="Calibri" w:hAnsi="Calibri"/>
        </w:rPr>
        <w:t xml:space="preserve"> No avanzar si compiten por recambio barato, no tienen portfolio o tardan demasiado en presupuestar.</w:t>
      </w:r>
    </w:p>
    <w:p>
      <w:pPr>
        <w:pStyle w:val="Heading2"/>
      </w:pPr>
      <w:r>
        <w:t>Compra de coches con cargas, avería o siniestro</w:t>
      </w:r>
    </w:p>
    <w:p>
      <w:r>
        <w:rPr>
          <w:rFonts w:ascii="Calibri" w:hAnsi="Calibri"/>
        </w:rPr>
        <w:t>La campaña sigue el criterio de compra real y aprende del margen, no del formulario.</w:t>
      </w:r>
    </w:p>
    <w:p>
      <w:r>
        <w:rPr>
          <w:rFonts w:ascii="Calibri" w:hAnsi="Calibri"/>
          <w:b/>
          <w:color w:val="10213A"/>
        </w:rPr>
        <w:t>Condición crítica:</w:t>
      </w:r>
      <w:r>
        <w:rPr>
          <w:rFonts w:ascii="Calibri" w:hAnsi="Calibri"/>
        </w:rPr>
        <w:t xml:space="preserve"> No avanzar sin liquidez, proceso documental, logística o criterios actualizados.</w:t>
      </w:r>
    </w:p>
    <w:p>
      <w:pPr>
        <w:pStyle w:val="Heading2"/>
      </w:pPr>
      <w:r>
        <w:t>Clínicas estéticas y capilares</w:t>
      </w:r>
    </w:p>
    <w:p>
      <w:r>
        <w:rPr>
          <w:rFonts w:ascii="Calibri" w:hAnsi="Calibri"/>
        </w:rPr>
        <w:t>Campaña monoproducto, seguimiento humano y optimización al resultado comercial.</w:t>
      </w:r>
    </w:p>
    <w:p>
      <w:r>
        <w:rPr>
          <w:rFonts w:ascii="Calibri" w:hAnsi="Calibri"/>
          <w:b/>
          <w:color w:val="10213A"/>
        </w:rPr>
        <w:t>Condición crítica:</w:t>
      </w:r>
      <w:r>
        <w:rPr>
          <w:rFonts w:ascii="Calibri" w:hAnsi="Calibri"/>
        </w:rPr>
        <w:t xml:space="preserve"> No avanzar sin agenda, coordinador, revisión de claims o registro de ventas.</w:t>
      </w:r>
    </w:p>
    <w:p>
      <w:pPr>
        <w:pStyle w:val="Heading2"/>
      </w:pPr>
      <w:r>
        <w:t>Climatización y aerotermia</w:t>
      </w:r>
    </w:p>
    <w:p>
      <w:r>
        <w:rPr>
          <w:rFonts w:ascii="Calibri" w:hAnsi="Calibri"/>
        </w:rPr>
        <w:t>Activar demanda solo donde existe capacidad y medir hasta trabajo ganado.</w:t>
      </w:r>
    </w:p>
    <w:p>
      <w:r>
        <w:rPr>
          <w:rFonts w:ascii="Calibri" w:hAnsi="Calibri"/>
          <w:b/>
          <w:color w:val="10213A"/>
        </w:rPr>
        <w:t>Condición crítica:</w:t>
      </w:r>
      <w:r>
        <w:rPr>
          <w:rFonts w:ascii="Calibri" w:hAnsi="Calibri"/>
        </w:rPr>
        <w:t xml:space="preserve"> No avanzar si no controlan disponibilidad, pierden llamadas o mezclan reparaciones con instalaciones.</w:t>
      </w:r>
    </w:p>
    <w:p>
      <w:pPr>
        <w:pStyle w:val="Heading2"/>
      </w:pPr>
      <w:r>
        <w:t>Reformas de alto valor</w:t>
      </w:r>
    </w:p>
    <w:p>
      <w:r>
        <w:rPr>
          <w:rFonts w:ascii="Calibri" w:hAnsi="Calibri"/>
        </w:rPr>
        <w:t>Menos pequeños arreglos y más proyectos compatibles con capacidad y margen.</w:t>
      </w:r>
    </w:p>
    <w:p>
      <w:r>
        <w:rPr>
          <w:rFonts w:ascii="Calibri" w:hAnsi="Calibri"/>
          <w:b/>
          <w:color w:val="10213A"/>
        </w:rPr>
        <w:t>Condición crítica:</w:t>
      </w:r>
      <w:r>
        <w:rPr>
          <w:rFonts w:ascii="Calibri" w:hAnsi="Calibri"/>
        </w:rPr>
        <w:t xml:space="preserve"> No avanzar si aceptan cualquier trabajo, no hacen seguimiento o no disponen de imágenes propias.</w:t>
      </w:r>
    </w:p>
    <w:p>
      <w:pPr>
        <w:pStyle w:val="Heading2"/>
      </w:pPr>
      <w:r>
        <w:t>Clínicas dentales</w:t>
      </w:r>
    </w:p>
    <w:p>
      <w:r>
        <w:rPr>
          <w:rFonts w:ascii="Calibri" w:hAnsi="Calibri"/>
        </w:rPr>
        <w:t>Captación, confirmación y seguimiento conectados al tratamiento aceptado.</w:t>
      </w:r>
    </w:p>
    <w:p>
      <w:r>
        <w:rPr>
          <w:rFonts w:ascii="Calibri" w:hAnsi="Calibri"/>
          <w:b/>
          <w:color w:val="10213A"/>
        </w:rPr>
        <w:t>Condición crítica:</w:t>
      </w:r>
      <w:r>
        <w:rPr>
          <w:rFonts w:ascii="Calibri" w:hAnsi="Calibri"/>
        </w:rPr>
        <w:t xml:space="preserve"> No avanzar sin coordinador, agenda o registro del resultado; nunca prometer resultados clínicos.</w:t>
      </w:r>
    </w:p>
    <w:p>
      <w:pPr>
        <w:pStyle w:val="Heading2"/>
      </w:pPr>
      <w:r>
        <w:t>Captación de propietarios para inmobiliarias</w:t>
      </w:r>
    </w:p>
    <w:p>
      <w:r>
        <w:rPr>
          <w:rFonts w:ascii="Calibri" w:hAnsi="Calibri"/>
        </w:rPr>
        <w:t>Foco hiperlocal, intención de venta y seguimiento hasta encargo.</w:t>
      </w:r>
    </w:p>
    <w:p>
      <w:r>
        <w:rPr>
          <w:rFonts w:ascii="Calibri" w:hAnsi="Calibri"/>
          <w:b/>
          <w:color w:val="10213A"/>
        </w:rPr>
        <w:t>Condición crítica:</w:t>
      </w:r>
      <w:r>
        <w:rPr>
          <w:rFonts w:ascii="Calibri" w:hAnsi="Calibri"/>
        </w:rPr>
        <w:t xml:space="preserve"> No avanzar si buscan fingir compradores, garantizar precio o no tienen agente disponible.</w:t>
      </w:r>
    </w:p>
    <w:p>
      <w:pPr>
        <w:pStyle w:val="Heading2"/>
      </w:pPr>
      <w:r>
        <w:t>Centros auditivos y ortopedias</w:t>
      </w:r>
    </w:p>
    <w:p>
      <w:r>
        <w:rPr>
          <w:rFonts w:ascii="Calibri" w:hAnsi="Calibri"/>
        </w:rPr>
        <w:t>Un recorrido respetuoso desde la consulta hasta la valoración, con seguimiento.</w:t>
      </w:r>
    </w:p>
    <w:p>
      <w:r>
        <w:rPr>
          <w:rFonts w:ascii="Calibri" w:hAnsi="Calibri"/>
          <w:b/>
          <w:color w:val="10213A"/>
        </w:rPr>
        <w:t>Condición crítica:</w:t>
      </w:r>
      <w:r>
        <w:rPr>
          <w:rFonts w:ascii="Calibri" w:hAnsi="Calibri"/>
        </w:rPr>
        <w:t xml:space="preserve"> No avanzar si esperan diagnosticar o prometer mejora desde publicidad.</w:t>
      </w:r>
    </w:p>
    <w:p>
      <w:pPr>
        <w:pStyle w:val="Heading2"/>
      </w:pPr>
      <w:r>
        <w:t>Mudanzas, contenedores y guardamuebles</w:t>
      </w:r>
    </w:p>
    <w:p>
      <w:r>
        <w:rPr>
          <w:rFonts w:ascii="Calibri" w:hAnsi="Calibri"/>
        </w:rPr>
        <w:t>Captación por ruta e intención, conectada con capacidad operativa.</w:t>
      </w:r>
    </w:p>
    <w:p>
      <w:r>
        <w:rPr>
          <w:rFonts w:ascii="Calibri" w:hAnsi="Calibri"/>
          <w:b/>
          <w:color w:val="10213A"/>
        </w:rPr>
        <w:t>Condición crítica:</w:t>
      </w:r>
      <w:r>
        <w:rPr>
          <w:rFonts w:ascii="Calibri" w:hAnsi="Calibri"/>
        </w:rPr>
        <w:t xml:space="preserve"> No avanzar si no controlan cobertura, fechas o velocidad de presupuesto.</w:t>
      </w:r>
    </w:p>
    <w:p>
      <w:pPr>
        <w:pStyle w:val="Heading1"/>
      </w:pPr>
      <w:r>
        <w:t>13. Role-play y certificación interna</w:t>
      </w:r>
    </w:p>
    <w:p>
      <w:pPr>
        <w:numPr>
          <w:ilvl w:val="0"/>
          <w:numId w:val="11"/>
        </w:numPr>
      </w:pPr>
      <w:r>
        <w:rPr>
          <w:rFonts w:ascii="Calibri" w:hAnsi="Calibri"/>
        </w:rPr>
        <w:t>Discovery con prospecto que pide precio en el minuto uno.</w:t>
      </w:r>
    </w:p>
    <w:p>
      <w:pPr>
        <w:numPr>
          <w:ilvl w:val="0"/>
          <w:numId w:val="11"/>
        </w:numPr>
      </w:pPr>
      <w:r>
        <w:rPr>
          <w:rFonts w:ascii="Calibri" w:hAnsi="Calibri"/>
        </w:rPr>
        <w:t>Prospecto con demanda suficiente pero mal seguimiento.</w:t>
      </w:r>
    </w:p>
    <w:p>
      <w:pPr>
        <w:numPr>
          <w:ilvl w:val="0"/>
          <w:numId w:val="11"/>
        </w:numPr>
      </w:pPr>
      <w:r>
        <w:rPr>
          <w:rFonts w:ascii="Calibri" w:hAnsi="Calibri"/>
        </w:rPr>
        <w:t>Prospecto con buen equipo pero sin margen defendible.</w:t>
      </w:r>
    </w:p>
    <w:p>
      <w:pPr>
        <w:numPr>
          <w:ilvl w:val="0"/>
          <w:numId w:val="11"/>
        </w:numPr>
      </w:pPr>
      <w:r>
        <w:rPr>
          <w:rFonts w:ascii="Calibri" w:hAnsi="Calibri"/>
        </w:rPr>
        <w:t>Prospecto que exige una garantía impropia.</w:t>
      </w:r>
    </w:p>
    <w:p>
      <w:pPr>
        <w:numPr>
          <w:ilvl w:val="0"/>
          <w:numId w:val="11"/>
        </w:numPr>
      </w:pPr>
      <w:r>
        <w:rPr>
          <w:rFonts w:ascii="Calibri" w:hAnsi="Calibri"/>
        </w:rPr>
        <w:t>Presentación de siete minutos usando solo las diapositivas necesarias.</w:t>
      </w:r>
    </w:p>
    <w:p>
      <w:pPr>
        <w:numPr>
          <w:ilvl w:val="0"/>
          <w:numId w:val="11"/>
        </w:numPr>
      </w:pPr>
      <w:r>
        <w:rPr>
          <w:rFonts w:ascii="Calibri" w:hAnsi="Calibri"/>
        </w:rPr>
        <w:t>Cierre para avanzar, cierre condicionado y descarte respetuoso.</w:t>
      </w:r>
    </w:p>
    <w:p>
      <w:pPr>
        <w:keepLines/>
        <w:spacing w:before="80" w:after="120" w:line="259" w:lineRule="auto"/>
        <w:ind w:left="173" w:right="173"/>
        <w:shd w:fill="E9F6EF"/>
        <w:pBdr>
          <w:left w:val="single" w:sz="18" w:space="8" w:color="138A59"/>
        </w:pBdr>
      </w:pPr>
      <w:r>
        <w:rPr>
          <w:rFonts w:ascii="Calibri" w:hAnsi="Calibri"/>
          <w:b/>
          <w:color w:val="138A59"/>
          <w:sz w:val="17"/>
        </w:rPr>
        <w:t>CRITERIO DE SALIDA</w:t>
        <w:br/>
      </w:r>
      <w:r>
        <w:rPr>
          <w:rFonts w:ascii="Calibri" w:hAnsi="Calibri"/>
          <w:color w:val="111827"/>
          <w:sz w:val="20"/>
        </w:rPr>
        <w:t>El closer está listo cuando puede diagnosticar, simplificar y descartar sin recurrir a promesas, presión o descuentos improvisados.</w:t>
      </w:r>
    </w:p>
    <w:p>
      <w:pPr>
        <w:pStyle w:val="Heading2"/>
      </w:pPr>
      <w:r>
        <w:t>Rúbrica de certificación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10213A"/>
                <w:sz w:val="20"/>
              </w:rPr>
              <w:t>Competencia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10213A"/>
                <w:sz w:val="20"/>
              </w:rPr>
              <w:t>Evidencia observable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Discovery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Distingue dato, hipótesis, dolor, impacto y causa.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Criterio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Detecta cuándo avanzar, condicionar o descartar.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Presentación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Usa solo las diapositivas que responden al diagnóstico.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Economía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Habla de margen y capacidad sin improvisar precios.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Objeciones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Responde con evidencia, límites y una pregunta útil.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Cierre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Obtiene decisión, responsable, dato pendiente y fecha. Certificar solo con 10/12 o más y sin fallos críticos.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490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/>
        <w:color w:val="607089"/>
        <w:sz w:val="17"/>
      </w:rPr>
      <w:t xml:space="preserve">REDVITALIA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07089"/>
        <w:sz w:val="17"/>
      </w:rPr>
      <w:t>MANUAL DEL CLOSER REDVITALIA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40" w:line="27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40" w:line="270" w:lineRule="auto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76" w:lineRule="auto"/>
    </w:pPr>
    <w:rPr>
      <w:rFonts w:ascii="Calibri" w:hAnsi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57D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57D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021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del closer RedVitalia</dc:title>
  <dc:subject>Kit comercial para captar empresas cliente de RedVitalia</dc:subject>
  <dc:creator>RedVitalia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