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 w:after="240"/>
      </w:pPr>
      <w:r>
        <w:rPr>
          <w:rFonts w:ascii="Calibri" w:hAnsi="Calibri"/>
          <w:b/>
          <w:i w:val="0"/>
          <w:color w:val="FF7A00"/>
          <w:sz w:val="24"/>
        </w:rPr>
        <w:t>REDVITALIA</w:t>
      </w:r>
    </w:p>
    <w:p>
      <w:pPr>
        <w:spacing w:after="240"/>
      </w:pPr>
      <w:r>
        <w:rPr>
          <w:rFonts w:ascii="Calibri" w:hAnsi="Calibri"/>
          <w:b/>
          <w:i w:val="0"/>
          <w:color w:val="10213A"/>
          <w:sz w:val="60"/>
        </w:rPr>
        <w:t>Secuencias multicanal B2B</w:t>
      </w:r>
    </w:p>
    <w:p>
      <w:pPr>
        <w:spacing w:after="800"/>
      </w:pPr>
      <w:r>
        <w:rPr>
          <w:rFonts w:ascii="Calibri" w:hAnsi="Calibri"/>
          <w:b w:val="0"/>
          <w:i w:val="0"/>
          <w:color w:val="607089"/>
          <w:sz w:val="30"/>
        </w:rPr>
        <w:t>Manual operativo de 15 días para callers de RedVitalia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7D0"/>
                <w:sz w:val="20"/>
              </w:rPr>
              <w:t xml:space="preserve">OBJETIVO  </w:t>
            </w:r>
            <w:r>
              <w:rPr>
                <w:rFonts w:ascii="Calibri" w:hAnsi="Calibri"/>
                <w:b/>
                <w:i w:val="0"/>
                <w:color w:val="10213A"/>
                <w:sz w:val="21"/>
              </w:rPr>
              <w:t>Convertir actividad comercial en conversaciones cualificadas y decisiones verificables, sin promesas ni automatismos de publicación.</w:t>
            </w:r>
          </w:p>
        </w:tc>
        <w:trPr>
          <w:tblHeader/>
        </w:trPr>
      </w:tr>
    </w:tbl>
    <w:p>
      <w:r>
        <w:br w:type="page"/>
      </w:r>
    </w:p>
    <w:p>
      <w:pPr>
        <w:pStyle w:val="Heading1"/>
      </w:pPr>
      <w:r>
        <w:t>Cómo usar este manual</w:t>
      </w:r>
    </w:p>
    <w:p>
      <w:r>
        <w:rPr>
          <w:rFonts w:ascii="Calibri" w:hAnsi="Calibri"/>
          <w:b w:val="0"/>
          <w:i w:val="0"/>
          <w:color w:val="111827"/>
          <w:sz w:val="22"/>
        </w:rPr>
        <w:t>El objetivo no es agotar canales: es conseguir una respuesta útil con un motivo diferente en cada contacto. Una secuencia termina cuando hay reunión, rechazo explícito, falta de encaje o petición de no contacto.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11827"/>
          <w:sz w:val="22"/>
        </w:rPr>
        <w:t>Investiga antes: servicio prioritario, zona, equipo, prueba y posible decisor.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11827"/>
          <w:sz w:val="22"/>
        </w:rPr>
        <w:t>Personaliza una observación; no inventes auditorías, resultados ni datos.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11827"/>
          <w:sz w:val="22"/>
        </w:rPr>
        <w:t>Registra cada intento, respuesta, objeción y siguiente acción con fecha.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11827"/>
          <w:sz w:val="22"/>
        </w:rPr>
        <w:t>Respeta oposición, privacidad, horarios y las normas aplicables a cada canal.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E8"/>
          </w:tcPr>
          <w:p>
            <w:r>
              <w:rPr>
                <w:rFonts w:ascii="Calibri" w:hAnsi="Calibri"/>
                <w:b/>
                <w:i w:val="0"/>
                <w:color w:val="FF7A00"/>
                <w:sz w:val="18"/>
              </w:rPr>
              <w:t>REGLA DE ORO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Identifícate, explica el motivo, pide permiso y permite salir de la conversación. WhatsApp solo cuando exista una base válida para usarlo.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Preparación en 4 minutos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900"/>
        <w:gridCol w:w="55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Minuto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Comprueba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Escribe</w:t>
            </w:r>
          </w:p>
        </w:tc>
        <w:trPr>
          <w:tblHeader/>
        </w:trPr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Web y oferta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Qué parece querer vender más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2</w:t>
            </w:r>
          </w:p>
        </w:tc>
        <w:tc>
          <w:tcPr>
            <w:tcW w:type="dxa" w:w="2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Capacidad y zona</w:t>
            </w:r>
          </w:p>
        </w:tc>
        <w:tc>
          <w:tcPr>
            <w:tcW w:type="dxa" w:w="5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Una pregunta operativa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Prueba y seguimiento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Una fuga posible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4</w:t>
            </w:r>
          </w:p>
        </w:tc>
        <w:tc>
          <w:tcPr>
            <w:tcW w:type="dxa" w:w="2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Decisor y canal</w:t>
            </w:r>
          </w:p>
        </w:tc>
        <w:tc>
          <w:tcPr>
            <w:tcW w:type="dxa" w:w="5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Apertura de 25 segundos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Cadencia maestra de 15 días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520"/>
        <w:gridCol w:w="1420"/>
        <w:gridCol w:w="5800"/>
      </w:tblGrid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Día</w:t>
            </w:r>
          </w:p>
        </w:tc>
        <w:tc>
          <w:tcPr>
            <w:tcW w:type="dxa" w:w="1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Canal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Trabajo</w:t>
            </w:r>
          </w:p>
        </w:tc>
        <w:tc>
          <w:tcPr>
            <w:tcW w:type="dxa" w:w="5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  <w:trPr>
          <w:tblHeader/>
        </w:trPr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1</w:t>
            </w:r>
          </w:p>
        </w:tc>
        <w:tc>
          <w:tcPr>
            <w:tcW w:type="dxa" w:w="1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Llamada + email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Abrir</w:t>
            </w:r>
          </w:p>
        </w:tc>
        <w:tc>
          <w:tcPr>
            <w:tcW w:type="dxa" w:w="5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Llamada de 30 segundos; si no responde, email breve con observación real y pregunta binaria.</w:t>
            </w:r>
          </w:p>
        </w:tc>
      </w:tr>
      <w:tr>
        <w:tc>
          <w:tcPr>
            <w:tcW w:type="dxa" w:w="6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2</w:t>
            </w:r>
          </w:p>
        </w:tc>
        <w:tc>
          <w:tcPr>
            <w:tcW w:type="dxa" w:w="15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LinkedIn</w:t>
            </w:r>
          </w:p>
        </w:tc>
        <w:tc>
          <w:tcPr>
            <w:tcW w:type="dxa" w:w="14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Contextualizar</w:t>
            </w:r>
          </w:p>
        </w:tc>
        <w:tc>
          <w:tcPr>
            <w:tcW w:type="dxa" w:w="5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Conexión sin pitch: por qué esa persona y por qué ese sector.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3</w:t>
            </w:r>
          </w:p>
        </w:tc>
        <w:tc>
          <w:tcPr>
            <w:tcW w:type="dxa" w:w="1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Llamada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Validar</w:t>
            </w:r>
          </w:p>
        </w:tc>
        <w:tc>
          <w:tcPr>
            <w:tcW w:type="dxa" w:w="5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Segundo intento en otra franja; preguntar por demanda, capacidad o conversión.</w:t>
            </w:r>
          </w:p>
        </w:tc>
      </w:tr>
      <w:tr>
        <w:tc>
          <w:tcPr>
            <w:tcW w:type="dxa" w:w="6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5</w:t>
            </w:r>
          </w:p>
        </w:tc>
        <w:tc>
          <w:tcPr>
            <w:tcW w:type="dxa" w:w="15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Email</w:t>
            </w:r>
          </w:p>
        </w:tc>
        <w:tc>
          <w:tcPr>
            <w:tcW w:type="dxa" w:w="14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Aportar</w:t>
            </w:r>
          </w:p>
        </w:tc>
        <w:tc>
          <w:tcPr>
            <w:tcW w:type="dxa" w:w="5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Mapa de fuga específico: respuesta, cita, resultado final y dato perdido.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6</w:t>
            </w:r>
          </w:p>
        </w:tc>
        <w:tc>
          <w:tcPr>
            <w:tcW w:type="dxa" w:w="1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Llamada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Decidir</w:t>
            </w:r>
          </w:p>
        </w:tc>
        <w:tc>
          <w:tcPr>
            <w:tcW w:type="dxa" w:w="5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Referencia al email y petición de 12 minutos o cierre de secuencia.</w:t>
            </w:r>
          </w:p>
        </w:tc>
      </w:tr>
      <w:tr>
        <w:tc>
          <w:tcPr>
            <w:tcW w:type="dxa" w:w="6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8</w:t>
            </w:r>
          </w:p>
        </w:tc>
        <w:tc>
          <w:tcPr>
            <w:tcW w:type="dxa" w:w="15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LinkedIn</w:t>
            </w:r>
          </w:p>
        </w:tc>
        <w:tc>
          <w:tcPr>
            <w:tcW w:type="dxa" w:w="14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Alternar</w:t>
            </w:r>
          </w:p>
        </w:tc>
        <w:tc>
          <w:tcPr>
            <w:tcW w:type="dxa" w:w="5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Pregunta sobre servicio, zona, tratamiento o especialidad prioritaria.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10</w:t>
            </w:r>
          </w:p>
        </w:tc>
        <w:tc>
          <w:tcPr>
            <w:tcW w:type="dxa" w:w="1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Llamada + buzón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Recordar</w:t>
            </w:r>
          </w:p>
        </w:tc>
        <w:tc>
          <w:tcPr>
            <w:tcW w:type="dxa" w:w="5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Mensaje de menos de 25 segundos con motivo y siguiente paso.</w:t>
            </w:r>
          </w:p>
        </w:tc>
      </w:tr>
      <w:tr>
        <w:tc>
          <w:tcPr>
            <w:tcW w:type="dxa" w:w="6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12</w:t>
            </w:r>
          </w:p>
        </w:tc>
        <w:tc>
          <w:tcPr>
            <w:tcW w:type="dxa" w:w="15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Email</w:t>
            </w:r>
          </w:p>
        </w:tc>
        <w:tc>
          <w:tcPr>
            <w:tcW w:type="dxa" w:w="14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Reducir riesgo</w:t>
            </w:r>
          </w:p>
        </w:tc>
        <w:tc>
          <w:tcPr>
            <w:tcW w:type="dxa" w:w="5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Checklist de encaje: oferta, capacidad, respuesta, seguimiento y trazabilidad.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15</w:t>
            </w:r>
          </w:p>
        </w:tc>
        <w:tc>
          <w:tcPr>
            <w:tcW w:type="dxa" w:w="1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Llamada + cierre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Cerrar bucle</w:t>
            </w:r>
          </w:p>
        </w:tc>
        <w:tc>
          <w:tcPr>
            <w:tcW w:type="dxa" w:w="5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Archivar, fijar una fecha real de retorno o agendar diagnóstico.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F"/>
          </w:tcPr>
          <w:p>
            <w:r>
              <w:rPr>
                <w:rFonts w:ascii="Calibri" w:hAnsi="Calibri"/>
                <w:b/>
                <w:i w:val="0"/>
                <w:color w:val="0B57D0"/>
                <w:sz w:val="18"/>
              </w:rPr>
              <w:t>SALIDA LIMPIA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No conviertas la persistencia en presión. Si el prospecto dice que no, pregunta una sola vez si es falta de prioridad, encaje o momento; registra y cierra.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Guion de llamada: primera apertura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F"/>
          </w:tcPr>
          <w:p>
            <w:r>
              <w:rPr>
                <w:rFonts w:ascii="Calibri" w:hAnsi="Calibri"/>
                <w:b/>
                <w:i w:val="0"/>
                <w:color w:val="0B57D0"/>
                <w:sz w:val="18"/>
              </w:rPr>
              <w:t>PERMISO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Hola, ¿{nombre}? Soy {tu nombre}, de RedVitalia. Te llamo por {línea específica}. ¿Te pillo con 30 segundos?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F"/>
          </w:tcPr>
          <w:p>
            <w:r>
              <w:rPr>
                <w:rFonts w:ascii="Calibri" w:hAnsi="Calibri"/>
                <w:b/>
                <w:i w:val="0"/>
                <w:color w:val="0B57D0"/>
                <w:sz w:val="18"/>
              </w:rPr>
              <w:t>RELEVANCIA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Estamos ayudando a {tipo de empresa} a separar la captación de {servicio prioritario} y medirla hasta {resultado final}. Quería comprobar si ahora mismo queréis crecer ahí o si la capacidad ya está cubierta.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F"/>
          </w:tcPr>
          <w:p>
            <w:r>
              <w:rPr>
                <w:rFonts w:ascii="Calibri" w:hAnsi="Calibri"/>
                <w:b/>
                <w:i w:val="0"/>
                <w:color w:val="0B57D0"/>
                <w:sz w:val="18"/>
              </w:rPr>
              <w:t>PREGUNTA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Para no contarte algo genérico: ¿qué queréis hacer crecer y qué os frena hoy: demanda, capacidad, respuesta o conversión?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Respuestas cortas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Situación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Respuesta</w:t>
            </w:r>
          </w:p>
        </w:tc>
        <w:trPr>
          <w:tblHeader/>
        </w:trPr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No tengo tiempo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Lo entiendo. Solo quería saber si esa línea es prioridad. Si lo es, buscamos 12 minutos; si no, cierro aquí.</w:t>
            </w:r>
          </w:p>
        </w:tc>
      </w:tr>
      <w:tr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Mándame información</w:t>
            </w:r>
          </w:p>
        </w:tc>
        <w:tc>
          <w:tcPr>
            <w:tcW w:type="dxa" w:w="71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Te envío algo breve, pero para que sea relevante: ¿qué servicio y zona debería usar como referencia?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Ya tengo agencia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Perfecto. ¿Qué resultado final medís con ella: contacto, cita, venta o margen?</w:t>
            </w:r>
          </w:p>
        </w:tc>
      </w:tr>
      <w:tr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No me interesa</w:t>
            </w:r>
          </w:p>
        </w:tc>
        <w:tc>
          <w:tcPr>
            <w:tcW w:type="dxa" w:w="71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Entendido. ¿Es por momento, encaje o porque ya tenéis resuelta la captación? Lo registro y no insisto.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Gatekeeper y buzón de voz</w:t>
      </w:r>
    </w:p>
    <w:p>
      <w:pPr>
        <w:pStyle w:val="Heading2"/>
      </w:pPr>
      <w:r>
        <w:t>Gatekeeper</w:t>
      </w:r>
    </w:p>
    <w:p>
      <w:r>
        <w:rPr>
          <w:rFonts w:ascii="Calibri" w:hAnsi="Calibri"/>
          <w:b w:val="0"/>
          <w:i w:val="0"/>
          <w:color w:val="111827"/>
          <w:sz w:val="22"/>
        </w:rPr>
        <w:t>“Gracias. No llamo por una compra puntual. Quiero comprobar con la persona responsable si {línea concreta} es una prioridad y si tiene sentido revisar cómo se mide. ¿Quién lleva crecimiento o dirección comercial?”</w:t>
      </w:r>
    </w:p>
    <w:p>
      <w:r>
        <w:rPr>
          <w:rFonts w:ascii="Calibri" w:hAnsi="Calibri"/>
          <w:b w:val="0"/>
          <w:i w:val="0"/>
          <w:color w:val="111827"/>
          <w:sz w:val="22"/>
        </w:rPr>
        <w:t>Si pide email: “Claro. Para dirigirlo bien, ¿qué nombre pongo y qué servicio estáis priorizando?”</w:t>
      </w:r>
    </w:p>
    <w:p>
      <w:pPr>
        <w:pStyle w:val="Heading2"/>
      </w:pPr>
      <w:r>
        <w:t>Buzón de menos de 25 segundos</w:t>
      </w:r>
    </w:p>
    <w:p>
      <w:r>
        <w:rPr>
          <w:rFonts w:ascii="Calibri" w:hAnsi="Calibri"/>
          <w:b w:val="0"/>
          <w:i w:val="0"/>
          <w:color w:val="111827"/>
          <w:sz w:val="22"/>
        </w:rPr>
        <w:t>“Hola, {nombre}. Soy {tu nombre}, de RedVitalia. Te llamo porque trabajamos captación específica para {servicio} y la medimos hasta {resultado}. Quería saber si es prioridad ahora. Te envío un email con el contexto. Mi número es {número}.”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0F0"/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NUNCA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Fingir urgencia, decir que se ha detectado un problema sin haberlo verificado, ocultar la identidad o insinuar que ya existe una relación.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Emails listos para personalizar</w:t>
      </w:r>
    </w:p>
    <w:p>
      <w:pPr>
        <w:pStyle w:val="Heading2"/>
      </w:pPr>
      <w:r>
        <w:t>¿{servicio} es prioridad este trimestre?</w:t>
      </w:r>
    </w:p>
    <w:p>
      <w:r>
        <w:rPr>
          <w:rFonts w:ascii="Calibri" w:hAnsi="Calibri"/>
          <w:b w:val="0"/>
          <w:i w:val="0"/>
          <w:color w:val="111827"/>
          <w:sz w:val="22"/>
        </w:rPr>
        <w:t>Hola, {nombre}. He visto que trabajáis {servicio/área}. En RedVitalia diseñamos la captación por línea y la medimos hasta {resultado final}, no solo hasta formulario. ¿Queréis crecer en esa línea o la capacidad ya está cubierta? Si tiene sentido, lo vemos en 12 minutos.</w:t>
      </w:r>
    </w:p>
    <w:p>
      <w:r>
        <w:rPr>
          <w:rFonts w:ascii="Calibri" w:hAnsi="Calibri"/>
          <w:b w:val="0"/>
          <w:i w:val="0"/>
          <w:color w:val="607089"/>
          <w:sz w:val="22"/>
        </w:rPr>
        <w:t>Personalización obligatoria: {observación real} · {servicio} · {resultado} · {fecha}.</w:t>
      </w:r>
    </w:p>
    <w:p>
      <w:pPr>
        <w:pStyle w:val="Heading2"/>
      </w:pPr>
      <w:r>
        <w:t>La fuga suele estar después del lead</w:t>
      </w:r>
    </w:p>
    <w:p>
      <w:r>
        <w:rPr>
          <w:rFonts w:ascii="Calibri" w:hAnsi="Calibri"/>
          <w:b w:val="0"/>
          <w:i w:val="0"/>
          <w:color w:val="111827"/>
          <w:sz w:val="22"/>
        </w:rPr>
        <w:t>Hola, {nombre}. En {sector}, la inversión suele perderse en respuesta, confirmación, seguimiento o falta de dato final. Si me dices qué línea queréis priorizar, te devuelvo las cinco preguntas que usaríamos para diagnosticarla.</w:t>
      </w:r>
    </w:p>
    <w:p>
      <w:r>
        <w:rPr>
          <w:rFonts w:ascii="Calibri" w:hAnsi="Calibri"/>
          <w:b w:val="0"/>
          <w:i w:val="0"/>
          <w:color w:val="607089"/>
          <w:sz w:val="22"/>
        </w:rPr>
        <w:t>Personalización obligatoria: {observación real} · {servicio} · {resultado} · {fecha}.</w:t>
      </w:r>
    </w:p>
    <w:p>
      <w:pPr>
        <w:pStyle w:val="Heading2"/>
      </w:pPr>
      <w:r>
        <w:t>Checklist de encaje RedVitalia</w:t>
      </w:r>
    </w:p>
    <w:p>
      <w:r>
        <w:rPr>
          <w:rFonts w:ascii="Calibri" w:hAnsi="Calibri"/>
          <w:b w:val="0"/>
          <w:i w:val="0"/>
          <w:color w:val="111827"/>
          <w:sz w:val="22"/>
        </w:rPr>
        <w:t>Para que una prueba tenga sentido necesitamos: oferta prioritaria, capacidad real, responsable de respuesta, seguimiento y resultado final registrable. ¿Cuál de estas cinco piezas es hoy la más débil?</w:t>
      </w:r>
    </w:p>
    <w:p>
      <w:r>
        <w:rPr>
          <w:rFonts w:ascii="Calibri" w:hAnsi="Calibri"/>
          <w:b w:val="0"/>
          <w:i w:val="0"/>
          <w:color w:val="607089"/>
          <w:sz w:val="22"/>
        </w:rPr>
        <w:t>Personalización obligatoria: {observación real} · {servicio} · {resultado} · {fecha}.</w:t>
      </w:r>
    </w:p>
    <w:p>
      <w:pPr>
        <w:pStyle w:val="Heading2"/>
      </w:pPr>
      <w:r>
        <w:t>Cierro el seguimiento</w:t>
      </w:r>
    </w:p>
    <w:p>
      <w:r>
        <w:rPr>
          <w:rFonts w:ascii="Calibri" w:hAnsi="Calibri"/>
          <w:b w:val="0"/>
          <w:i w:val="0"/>
          <w:color w:val="111827"/>
          <w:sz w:val="22"/>
        </w:rPr>
        <w:t>No quiero llenar tu bandeja. Cierro esta secuencia salvo que {servicio} sea una prioridad para {mes/trimestre}. Si lo es, responde con “sí” y te propongo dos huecos; si no, lo archivo.</w:t>
      </w:r>
    </w:p>
    <w:p>
      <w:r>
        <w:rPr>
          <w:rFonts w:ascii="Calibri" w:hAnsi="Calibri"/>
          <w:b w:val="0"/>
          <w:i w:val="0"/>
          <w:color w:val="607089"/>
          <w:sz w:val="22"/>
        </w:rPr>
        <w:t>Personalización obligatoria: {observación real} · {servicio} · {resultado} · {fecha}.</w:t>
      </w:r>
    </w:p>
    <w:p>
      <w:r>
        <w:br w:type="page"/>
      </w:r>
    </w:p>
    <w:p>
      <w:pPr>
        <w:pStyle w:val="Heading1"/>
      </w:pPr>
      <w:r>
        <w:t>LinkedIn y WhatsApp</w:t>
      </w:r>
    </w:p>
    <w:p>
      <w:pPr>
        <w:pStyle w:val="Heading2"/>
      </w:pPr>
      <w:r>
        <w:t>Conexión</w:t>
      </w:r>
    </w:p>
    <w:p>
      <w:r>
        <w:rPr>
          <w:rFonts w:ascii="Calibri" w:hAnsi="Calibri"/>
          <w:b w:val="0"/>
          <w:i w:val="0"/>
          <w:color w:val="111827"/>
          <w:sz w:val="22"/>
        </w:rPr>
        <w:t>Hola, {nombre}. Trabajo en RedVitalia con sistemas de captación para {sector}. Me interesa conectar porque veo que llevas {responsabilidad concreta}. Sin pitch por aquí.</w:t>
      </w:r>
    </w:p>
    <w:p>
      <w:pPr>
        <w:pStyle w:val="Heading2"/>
      </w:pPr>
      <w:r>
        <w:t>Tras aceptar</w:t>
      </w:r>
    </w:p>
    <w:p>
      <w:r>
        <w:rPr>
          <w:rFonts w:ascii="Calibri" w:hAnsi="Calibri"/>
          <w:b w:val="0"/>
          <w:i w:val="0"/>
          <w:color w:val="111827"/>
          <w:sz w:val="22"/>
        </w:rPr>
        <w:t>Gracias, {nombre}. Una pregunta: si este trimestre entraran más oportunidades de {servicio}, ¿el cuello de botella sería atraerlas, atenderlas o convertirlas?</w:t>
      </w:r>
    </w:p>
    <w:p>
      <w:pPr>
        <w:pStyle w:val="Heading2"/>
      </w:pPr>
      <w:r>
        <w:t>WhatsApp tras conversación o autorización</w:t>
      </w:r>
    </w:p>
    <w:p>
      <w:r>
        <w:rPr>
          <w:rFonts w:ascii="Calibri" w:hAnsi="Calibri"/>
          <w:b w:val="0"/>
          <w:i w:val="0"/>
          <w:color w:val="111827"/>
          <w:sz w:val="22"/>
        </w:rPr>
        <w:t>Hola, {nombre}. Soy {tu nombre}, de RedVitalia; hablamos hoy sobre {tema}. Te dejo el resumen acordado: objetivo {x}, dato pendiente {y}, reunión {fecha/hora}. Si prefieres que no usemos este canal, dímelo y lo retiro.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F"/>
          </w:tcPr>
          <w:p>
            <w:r>
              <w:rPr>
                <w:rFonts w:ascii="Calibri" w:hAnsi="Calibri"/>
                <w:b/>
                <w:i w:val="0"/>
                <w:color w:val="0B57D0"/>
                <w:sz w:val="18"/>
              </w:rPr>
              <w:t>USO RESPONSABLE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No añadas a grupos, no uses listas compradas y no traslades datos sensibles. Registra la base del contacto y la preferencia del prospecto.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Adaptación por vertical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80"/>
        <w:gridCol w:w="2600"/>
        <w:gridCol w:w="2600"/>
        <w:gridCol w:w="2380"/>
      </w:tblGrid>
      <w:tr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Vertical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Prospecto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Ángulo</w:t>
            </w:r>
          </w:p>
        </w:tc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 a validar</w:t>
            </w:r>
          </w:p>
        </w:tc>
        <w:trPr>
          <w:tblHeader/>
        </w:trPr>
      </w:tr>
      <w:tr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Ley de Segunda Oportunidad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Despachos con área concursal, intake estable y agenda.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Separar especialidad y medir hasta asunto aceptado.</w:t>
            </w:r>
          </w:p>
        </w:tc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Agenda, criterio de aceptación y devolución del resultado.</w:t>
            </w:r>
          </w:p>
        </w:tc>
      </w:tr>
      <w:tr>
        <w:tc>
          <w:tcPr>
            <w:tcW w:type="dxa" w:w="17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Herencias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Despachos de sucesiones con capacidad documental.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Separar bloqueadas, inmuebles, conflicto e internacional.</w:t>
            </w:r>
          </w:p>
        </w:tc>
        <w:tc>
          <w:tcPr>
            <w:tcW w:type="dxa" w:w="23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Casuística prioritaria, tiempo de revisión y seguimiento.</w:t>
            </w:r>
          </w:p>
        </w:tc>
      </w:tr>
      <w:tr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Divorcios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Despachos de familia con agenda por modalidad.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Separar mutuo acuerdo, contencioso y modificación.</w:t>
            </w:r>
          </w:p>
        </w:tc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Modalidad, capacidad, primer contacto y asunto contratado.</w:t>
            </w:r>
          </w:p>
        </w:tc>
      </w:tr>
      <w:tr>
        <w:tc>
          <w:tcPr>
            <w:tcW w:type="dxa" w:w="17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Pérgolas y cerramientos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Instaladores premium con radio, visitas y portfolio.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Filtrar producto, medidas, zona, inversión y plazo.</w:t>
            </w:r>
          </w:p>
        </w:tc>
        <w:tc>
          <w:tcPr>
            <w:tcW w:type="dxa" w:w="23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Ticket mínimo, visitas semanales y tiempo de presupuesto.</w:t>
            </w:r>
          </w:p>
        </w:tc>
      </w:tr>
      <w:tr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Coches con cargas o avería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Compradores con liquidez, logística y tasación rápida.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Optimizar a compra y margen, no a formulario.</w:t>
            </w:r>
          </w:p>
        </w:tc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Criterio semanal, zonas, oferta y devolución de margen.</w:t>
            </w:r>
          </w:p>
        </w:tc>
      </w:tr>
      <w:tr>
        <w:tc>
          <w:tcPr>
            <w:tcW w:type="dxa" w:w="17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Estética y capilar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Clínicas con tratamiento, coordinador y agenda.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Campaña monoproducto conectada a valoración y venta.</w:t>
            </w:r>
          </w:p>
        </w:tc>
        <w:tc>
          <w:tcPr>
            <w:tcW w:type="dxa" w:w="23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Tratamiento, confirmación, no-show y registro de venta.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Adaptación por vertical · continuación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80"/>
        <w:gridCol w:w="2600"/>
        <w:gridCol w:w="2600"/>
        <w:gridCol w:w="2380"/>
      </w:tblGrid>
      <w:tr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Vertical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Prospecto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Ángulo</w:t>
            </w:r>
          </w:p>
        </w:tc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 a validar</w:t>
            </w:r>
          </w:p>
        </w:tc>
        <w:trPr>
          <w:tblHeader/>
        </w:trPr>
      </w:tr>
      <w:tr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Climatización y aerotermia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Instaladores con capacidad y zonas controladas.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Activar demanda solo donde puede atenderse.</w:t>
            </w:r>
          </w:p>
        </w:tc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Servicio rentable, cobertura, llamadas perdidas y presupuesto.</w:t>
            </w:r>
          </w:p>
        </w:tc>
      </w:tr>
      <w:tr>
        <w:tc>
          <w:tcPr>
            <w:tcW w:type="dxa" w:w="17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Reformas de alto valor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Empresas con umbral, portfolio y seguimiento.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Filtrar antes de visitar y seguir cada presupuesto.</w:t>
            </w:r>
          </w:p>
        </w:tc>
        <w:tc>
          <w:tcPr>
            <w:tcW w:type="dxa" w:w="23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Obra mínima, visitas, plazo y seguimiento comercial.</w:t>
            </w:r>
          </w:p>
        </w:tc>
      </w:tr>
      <w:tr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Clínicas dentales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Clínicas con tratamiento, coordinador y trazabilidad.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Medir hasta tratamiento aceptado.</w:t>
            </w:r>
          </w:p>
        </w:tc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Prioridad, capacidad, confirmación y aceptación.</w:t>
            </w:r>
          </w:p>
        </w:tc>
      </w:tr>
      <w:tr>
        <w:tc>
          <w:tcPr>
            <w:tcW w:type="dxa" w:w="17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Inmobiliarias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Agencias hiperlocales con agente de captación.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Medir desde propietario hasta encargo firmado.</w:t>
            </w:r>
          </w:p>
        </w:tc>
        <w:tc>
          <w:tcPr>
            <w:tcW w:type="dxa" w:w="23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Zona, visita, seguimiento y encargo.</w:t>
            </w:r>
          </w:p>
        </w:tc>
      </w:tr>
      <w:tr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Audición y ortopedia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Centros con agenda, privacidad y atención accesible.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Recorrido prudente hasta valoración asistida.</w:t>
            </w:r>
          </w:p>
        </w:tc>
        <w:tc>
          <w:tcPr>
            <w:tcW w:type="dxa" w:w="2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Servicio, consentimiento, confirmación y propuesta.</w:t>
            </w:r>
          </w:p>
        </w:tc>
      </w:tr>
      <w:tr>
        <w:tc>
          <w:tcPr>
            <w:tcW w:type="dxa" w:w="17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Mudanzas y guardamuebles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Operadores con rutas, inventario y respuesta rápida.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Filtrar ruta, fecha, volumen y capacidad.</w:t>
            </w:r>
          </w:p>
        </w:tc>
        <w:tc>
          <w:tcPr>
            <w:tcW w:type="dxa" w:w="238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Rutas rentables, fechas, presupuesto y rechazos.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Disposiciones y disciplina CRM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Cuándo usarlo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Siguiente acción</w:t>
            </w:r>
          </w:p>
        </w:tc>
        <w:trPr>
          <w:tblHeader/>
        </w:trPr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No contesta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No hubo conversación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Mantener cadencia y variar franja</w:t>
            </w:r>
          </w:p>
        </w:tc>
      </w:tr>
      <w:tr>
        <w:tc>
          <w:tcPr>
            <w:tcW w:type="dxa" w:w="1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Gatekeeper</w:t>
            </w:r>
          </w:p>
        </w:tc>
        <w:tc>
          <w:tcPr>
            <w:tcW w:type="dxa" w:w="3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No se accedió al decisor</w:t>
            </w:r>
          </w:p>
        </w:tc>
        <w:tc>
          <w:tcPr>
            <w:tcW w:type="dxa" w:w="4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Recoger nombre, canal y contexto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No encaja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Falla una condición estructural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Motivo verificable y archivo</w:t>
            </w:r>
          </w:p>
        </w:tc>
      </w:tr>
      <w:tr>
        <w:tc>
          <w:tcPr>
            <w:tcW w:type="dxa" w:w="1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Retomar</w:t>
            </w:r>
          </w:p>
        </w:tc>
        <w:tc>
          <w:tcPr>
            <w:tcW w:type="dxa" w:w="3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Prioridad real en otra fecha</w:t>
            </w:r>
          </w:p>
        </w:tc>
        <w:tc>
          <w:tcPr>
            <w:tcW w:type="dxa" w:w="4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Fecha exacta y detonante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Conversación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Existe dolor o curiosidad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Recap y cualificación</w:t>
            </w:r>
          </w:p>
        </w:tc>
      </w:tr>
      <w:tr>
        <w:tc>
          <w:tcPr>
            <w:tcW w:type="dxa" w:w="1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Reunión</w:t>
            </w:r>
          </w:p>
        </w:tc>
        <w:tc>
          <w:tcPr>
            <w:tcW w:type="dxa" w:w="3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Decisor y agenda confirmados</w:t>
            </w:r>
          </w:p>
        </w:tc>
        <w:tc>
          <w:tcPr>
            <w:tcW w:type="dxa" w:w="4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Handoff con notas y objetivo</w:t>
            </w:r>
          </w:p>
        </w:tc>
      </w:tr>
    </w:tbl>
    <w:p>
      <w:pPr>
        <w:spacing w:after="0"/>
      </w:pPr>
    </w:p>
    <w:p>
      <w:pPr>
        <w:pStyle w:val="Heading1"/>
      </w:pPr>
      <w:r>
        <w:t>Métricas semanales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Cálculo</w:t>
            </w:r>
          </w:p>
        </w:tc>
        <w:trPr>
          <w:tblHeader/>
        </w:trPr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Conexión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Conversaciones / marcaciones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Cualificación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Prospectos con encaje / conversaciones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Agenda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Reuniones / cualificados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Asistencia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Reuniones celebradas / agendadas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Pipeline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Propuestas y ganados por fuente, vertical y responsable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Checklist antes de cerrar el día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100"/>
        <w:gridCol w:w="760"/>
        <w:gridCol w:w="2500"/>
      </w:tblGrid>
      <w:tr>
        <w:tc>
          <w:tcPr>
            <w:tcW w:type="dxa" w:w="6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OK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Nota</w:t>
            </w:r>
          </w:p>
        </w:tc>
        <w:trPr>
          <w:tblHeader/>
        </w:trPr>
      </w:tr>
      <w:tr>
        <w:tc>
          <w:tcPr>
            <w:tcW w:type="dxa" w:w="6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Todos los intentos tienen resultado.</w:t>
            </w:r>
          </w:p>
        </w:tc>
        <w:tc>
          <w:tcPr>
            <w:tcW w:type="dxa" w:w="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6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Toda oportunidad tiene responsable y fecha.</w:t>
            </w:r>
          </w:p>
        </w:tc>
        <w:tc>
          <w:tcPr>
            <w:tcW w:type="dxa" w:w="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6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Cada reunión incluye dolor, prioridad, capacidad y decisor.</w:t>
            </w:r>
          </w:p>
        </w:tc>
        <w:tc>
          <w:tcPr>
            <w:tcW w:type="dxa" w:w="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6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Las peticiones de no contacto están registradas.</w:t>
            </w:r>
          </w:p>
        </w:tc>
        <w:tc>
          <w:tcPr>
            <w:tcW w:type="dxa" w:w="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6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Las notas distinguen dato, inferencia y pendiente.</w:t>
            </w:r>
          </w:p>
        </w:tc>
        <w:tc>
          <w:tcPr>
            <w:tcW w:type="dxa" w:w="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6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Mañana empieza con una lista priorizada.</w:t>
            </w:r>
          </w:p>
        </w:tc>
        <w:tc>
          <w:tcPr>
            <w:tcW w:type="dxa" w:w="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7F1"/>
          </w:tcPr>
          <w:p>
            <w:r>
              <w:rPr>
                <w:rFonts w:ascii="Calibri" w:hAnsi="Calibri"/>
                <w:b/>
                <w:i w:val="0"/>
                <w:color w:val="138A59"/>
                <w:sz w:val="18"/>
              </w:rPr>
              <w:t>ESTÁNDAR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La actividad vale cuando produce aprendizaje y una siguiente acción clara. No premies llamadas vacías ni reuniones sin encaje.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07089"/>
        <w:sz w:val="16"/>
      </w:rPr>
      <w:t>Material interno · revisión humana obligatoria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07089"/>
        <w:sz w:val="17"/>
      </w:rPr>
      <w:t>REDVITALIA  ·  PROSPECCIÓN MULTICANAL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C9ECB8E4"/>
    <w:multiLevelType w:val="singleLevel"/>
    <w:lvl w:ilvl="0">
      <w:start w:val="1"/>
      <w:numFmt w:val="bullet"/>
      <w:lvlText w:val="-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nsid w:val="1C64061D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57D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57D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1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