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Default="00076E8B" w:rsidP="00300DDE">
            <w:pPr>
              <w:pStyle w:val="Titre"/>
              <w:jc w:val="center"/>
              <w:rPr>
                <w:rStyle w:val="Titredulivre"/>
                <w:color w:val="005191" w:themeColor="accent1"/>
                <w:sz w:val="72"/>
              </w:rPr>
            </w:pPr>
            <w:r w:rsidRPr="00282D90">
              <w:rPr>
                <w:rStyle w:val="Titredulivre"/>
                <w:color w:val="005191" w:themeColor="accent1"/>
                <w:sz w:val="72"/>
              </w:rPr>
              <w:t>pokeapi-soap-service</w:t>
            </w:r>
          </w:p>
          <w:p w:rsidR="00220E46" w:rsidRPr="004E695B" w:rsidRDefault="004E695B" w:rsidP="004E695B">
            <w:pPr>
              <w:jc w:val="center"/>
              <w:rPr>
                <w:rStyle w:val="Rfrenceple"/>
              </w:rPr>
            </w:pPr>
            <w:r w:rsidRPr="004E695B">
              <w:rPr>
                <w:rStyle w:val="Rfrenceple"/>
              </w:rPr>
              <w:t xml:space="preserve">Branch : </w:t>
            </w:r>
            <w:r w:rsidR="00220E46" w:rsidRPr="004E695B">
              <w:rPr>
                <w:rStyle w:val="Rfrenceple"/>
              </w:rPr>
              <w:t>main</w:t>
            </w:r>
          </w:p>
          <w:p w:rsidR="00BB4162" w:rsidRDefault="00BB4162" w:rsidP="00300DDE">
            <w:pPr>
              <w:pStyle w:val="Sous-titre"/>
              <w:rPr>
                <w:rStyle w:val="Titredulivre"/>
                <w:color w:val="4BACC6" w:themeColor="accent5"/>
                <w:sz w:val="28"/>
              </w:rPr>
            </w:pPr>
            <w:r w:rsidRPr="00300DDE">
              <w:rPr>
                <w:rStyle w:val="Titredulivre"/>
                <w:color w:val="4BACC6" w:themeColor="accent5"/>
                <w:sz w:val="28"/>
              </w:rPr>
              <w:t>Version 0.0.1-SNAPSHOT</w:t>
            </w:r>
          </w:p>
          <w:p w:rsidR="00300DDE" w:rsidRPr="00300DDE" w:rsidRDefault="00300DDE" w:rsidP="00300DDE"/>
          <w:p w:rsidR="001F5FAC" w:rsidRPr="00300DDE" w:rsidRDefault="001F5FAC" w:rsidP="000942FB">
            <w:pPr>
              <w:pStyle w:val="Titreprincipal"/>
              <w:rPr>
                <w:rStyle w:val="Titredulivre"/>
                <w:color w:val="auto"/>
              </w:rPr>
            </w:pPr>
            <w:r w:rsidRPr="00300DDE">
              <w:rPr>
                <w:rStyle w:val="TitreCar"/>
              </w:rPr>
              <w:t>Code</w:t>
            </w:r>
            <w:r w:rsidRPr="00300DDE">
              <w:rPr>
                <w:rStyle w:val="Titredulivre"/>
                <w:color w:val="auto"/>
              </w:rPr>
              <w:t xml:space="preserve"> </w:t>
            </w:r>
            <w:r w:rsidR="00300DDE">
              <w:rPr>
                <w:rStyle w:val="TitreCar"/>
              </w:rPr>
              <w:t>analysis</w:t>
            </w:r>
          </w:p>
          <w:p w:rsidR="000942FB" w:rsidRPr="00300DDE" w:rsidRDefault="000942FB" w:rsidP="000942FB">
            <w:pPr>
              <w:pStyle w:val="Titreprincipal"/>
              <w:rPr>
                <w:color w:val="auto"/>
              </w:rPr>
            </w:pPr>
          </w:p>
        </w:tc>
        <w:bookmarkStart w:id="1" w:name="_GoBack"/>
        <w:bookmarkEnd w:id="1"/>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220E46"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Administrator</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2024-07-23</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2"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itre1"/>
          </w:pPr>
          <w:r w:rsidRPr="005540B0">
            <w:t>Content</w:t>
          </w:r>
          <w:bookmarkEnd w:id="2"/>
        </w:p>
        <w:p w:rsidR="00B26DFA" w:rsidRDefault="00076E8B">
          <w:pPr>
            <w:pStyle w:val="TM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Lienhypertexte"/>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2828E7">
          <w:pPr>
            <w:pStyle w:val="TM1"/>
            <w:rPr>
              <w:noProof/>
              <w:sz w:val="22"/>
              <w:szCs w:val="22"/>
              <w:lang w:val="es-ES" w:eastAsia="es-ES"/>
            </w:rPr>
          </w:pPr>
          <w:hyperlink w:anchor="_Toc97156259" w:history="1">
            <w:r w:rsidR="00B26DFA" w:rsidRPr="00B17DAE">
              <w:rPr>
                <w:rStyle w:val="Lienhypertexte"/>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2828E7">
          <w:pPr>
            <w:pStyle w:val="TM1"/>
            <w:rPr>
              <w:noProof/>
              <w:sz w:val="22"/>
              <w:szCs w:val="22"/>
              <w:lang w:val="es-ES" w:eastAsia="es-ES"/>
            </w:rPr>
          </w:pPr>
          <w:hyperlink w:anchor="_Toc97156260" w:history="1">
            <w:r w:rsidR="00B26DFA" w:rsidRPr="00B17DAE">
              <w:rPr>
                <w:rStyle w:val="Lienhypertexte"/>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2828E7">
          <w:pPr>
            <w:pStyle w:val="TM1"/>
            <w:rPr>
              <w:noProof/>
              <w:sz w:val="22"/>
              <w:szCs w:val="22"/>
              <w:lang w:val="es-ES" w:eastAsia="es-ES"/>
            </w:rPr>
          </w:pPr>
          <w:hyperlink w:anchor="_Toc97156261" w:history="1">
            <w:r w:rsidR="00B26DFA" w:rsidRPr="00B17DAE">
              <w:rPr>
                <w:rStyle w:val="Lienhypertexte"/>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2828E7">
          <w:pPr>
            <w:pStyle w:val="TM2"/>
            <w:tabs>
              <w:tab w:val="right" w:leader="dot" w:pos="9628"/>
            </w:tabs>
            <w:rPr>
              <w:noProof/>
              <w:sz w:val="22"/>
              <w:szCs w:val="22"/>
              <w:lang w:val="es-ES" w:eastAsia="es-ES"/>
            </w:rPr>
          </w:pPr>
          <w:hyperlink w:anchor="_Toc97156262" w:history="1">
            <w:r w:rsidR="00B26DFA" w:rsidRPr="00B17DAE">
              <w:rPr>
                <w:rStyle w:val="Lienhypertexte"/>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2828E7">
          <w:pPr>
            <w:pStyle w:val="TM2"/>
            <w:tabs>
              <w:tab w:val="right" w:leader="dot" w:pos="9628"/>
            </w:tabs>
            <w:rPr>
              <w:noProof/>
              <w:sz w:val="22"/>
              <w:szCs w:val="22"/>
              <w:lang w:val="es-ES" w:eastAsia="es-ES"/>
            </w:rPr>
          </w:pPr>
          <w:hyperlink w:anchor="_Toc97156263" w:history="1">
            <w:r w:rsidR="00B26DFA" w:rsidRPr="00B17DAE">
              <w:rPr>
                <w:rStyle w:val="Lienhypertexte"/>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2828E7">
          <w:pPr>
            <w:pStyle w:val="TM2"/>
            <w:tabs>
              <w:tab w:val="right" w:leader="dot" w:pos="9628"/>
            </w:tabs>
            <w:rPr>
              <w:noProof/>
              <w:sz w:val="22"/>
              <w:szCs w:val="22"/>
              <w:lang w:val="es-ES" w:eastAsia="es-ES"/>
            </w:rPr>
          </w:pPr>
          <w:hyperlink w:anchor="_Toc97156264" w:history="1">
            <w:r w:rsidR="00B26DFA" w:rsidRPr="00B17DAE">
              <w:rPr>
                <w:rStyle w:val="Lienhypertexte"/>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2828E7">
          <w:pPr>
            <w:pStyle w:val="TM2"/>
            <w:tabs>
              <w:tab w:val="right" w:leader="dot" w:pos="9628"/>
            </w:tabs>
            <w:rPr>
              <w:noProof/>
              <w:sz w:val="22"/>
              <w:szCs w:val="22"/>
              <w:lang w:val="es-ES" w:eastAsia="es-ES"/>
            </w:rPr>
          </w:pPr>
          <w:hyperlink w:anchor="_Toc97156265" w:history="1">
            <w:r w:rsidR="00B26DFA" w:rsidRPr="00B17DAE">
              <w:rPr>
                <w:rStyle w:val="Lienhypertexte"/>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2828E7">
          <w:pPr>
            <w:pStyle w:val="TM2"/>
            <w:tabs>
              <w:tab w:val="right" w:leader="dot" w:pos="9628"/>
            </w:tabs>
            <w:rPr>
              <w:noProof/>
              <w:sz w:val="22"/>
              <w:szCs w:val="22"/>
              <w:lang w:val="es-ES" w:eastAsia="es-ES"/>
            </w:rPr>
          </w:pPr>
          <w:hyperlink w:anchor="_Toc97156266" w:history="1">
            <w:r w:rsidR="00B26DFA" w:rsidRPr="00B17DAE">
              <w:rPr>
                <w:rStyle w:val="Lienhypertexte"/>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2828E7">
          <w:pPr>
            <w:pStyle w:val="TM2"/>
            <w:tabs>
              <w:tab w:val="right" w:leader="dot" w:pos="9628"/>
            </w:tabs>
            <w:rPr>
              <w:noProof/>
              <w:sz w:val="22"/>
              <w:szCs w:val="22"/>
              <w:lang w:val="es-ES" w:eastAsia="es-ES"/>
            </w:rPr>
          </w:pPr>
          <w:hyperlink w:anchor="_Toc97156267" w:history="1">
            <w:r w:rsidR="00B26DFA" w:rsidRPr="00B17DAE">
              <w:rPr>
                <w:rStyle w:val="Lienhypertexte"/>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2828E7">
          <w:pPr>
            <w:pStyle w:val="TM2"/>
            <w:tabs>
              <w:tab w:val="right" w:leader="dot" w:pos="9628"/>
            </w:tabs>
            <w:rPr>
              <w:noProof/>
              <w:sz w:val="22"/>
              <w:szCs w:val="22"/>
              <w:lang w:val="es-ES" w:eastAsia="es-ES"/>
            </w:rPr>
          </w:pPr>
          <w:hyperlink w:anchor="_Toc97156268" w:history="1">
            <w:r w:rsidR="00B26DFA" w:rsidRPr="00B17DAE">
              <w:rPr>
                <w:rStyle w:val="Lienhypertexte"/>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2828E7">
          <w:pPr>
            <w:pStyle w:val="TM1"/>
            <w:rPr>
              <w:noProof/>
              <w:sz w:val="22"/>
              <w:szCs w:val="22"/>
              <w:lang w:val="es-ES" w:eastAsia="es-ES"/>
            </w:rPr>
          </w:pPr>
          <w:hyperlink w:anchor="_Toc97156269" w:history="1">
            <w:r w:rsidR="00B26DFA" w:rsidRPr="00B17DAE">
              <w:rPr>
                <w:rStyle w:val="Lienhypertexte"/>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2828E7">
          <w:pPr>
            <w:pStyle w:val="TM2"/>
            <w:tabs>
              <w:tab w:val="right" w:leader="dot" w:pos="9628"/>
            </w:tabs>
            <w:rPr>
              <w:noProof/>
              <w:sz w:val="22"/>
              <w:szCs w:val="22"/>
              <w:lang w:val="es-ES" w:eastAsia="es-ES"/>
            </w:rPr>
          </w:pPr>
          <w:hyperlink w:anchor="_Toc97156270" w:history="1">
            <w:r w:rsidR="00B26DFA" w:rsidRPr="00B17DAE">
              <w:rPr>
                <w:rStyle w:val="Lienhypertexte"/>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2828E7">
          <w:pPr>
            <w:pStyle w:val="TM2"/>
            <w:tabs>
              <w:tab w:val="right" w:leader="dot" w:pos="9628"/>
            </w:tabs>
            <w:rPr>
              <w:noProof/>
              <w:sz w:val="22"/>
              <w:szCs w:val="22"/>
              <w:lang w:val="es-ES" w:eastAsia="es-ES"/>
            </w:rPr>
          </w:pPr>
          <w:hyperlink w:anchor="_Toc97156271" w:history="1">
            <w:r w:rsidR="00B26DFA" w:rsidRPr="00B17DAE">
              <w:rPr>
                <w:rStyle w:val="Lienhypertexte"/>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2828E7">
          <w:pPr>
            <w:pStyle w:val="TM2"/>
            <w:tabs>
              <w:tab w:val="right" w:leader="dot" w:pos="9628"/>
            </w:tabs>
            <w:rPr>
              <w:noProof/>
              <w:sz w:val="22"/>
              <w:szCs w:val="22"/>
              <w:lang w:val="es-ES" w:eastAsia="es-ES"/>
            </w:rPr>
          </w:pPr>
          <w:hyperlink w:anchor="_Toc97156272" w:history="1">
            <w:r w:rsidR="00B26DFA" w:rsidRPr="00B17DAE">
              <w:rPr>
                <w:rStyle w:val="Lienhypertexte"/>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2828E7">
          <w:pPr>
            <w:pStyle w:val="TM1"/>
            <w:rPr>
              <w:noProof/>
              <w:sz w:val="22"/>
              <w:szCs w:val="22"/>
              <w:lang w:val="es-ES" w:eastAsia="es-ES"/>
            </w:rPr>
          </w:pPr>
          <w:hyperlink w:anchor="_Toc97156273" w:history="1">
            <w:r w:rsidR="00B26DFA" w:rsidRPr="00B17DAE">
              <w:rPr>
                <w:rStyle w:val="Lienhypertexte"/>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2828E7">
          <w:pPr>
            <w:pStyle w:val="TM2"/>
            <w:tabs>
              <w:tab w:val="right" w:leader="dot" w:pos="9628"/>
            </w:tabs>
            <w:rPr>
              <w:noProof/>
              <w:sz w:val="22"/>
              <w:szCs w:val="22"/>
              <w:lang w:val="es-ES" w:eastAsia="es-ES"/>
            </w:rPr>
          </w:pPr>
          <w:hyperlink w:anchor="_Toc97156274" w:history="1">
            <w:r w:rsidR="00B26DFA" w:rsidRPr="00B17DAE">
              <w:rPr>
                <w:rStyle w:val="Lienhypertexte"/>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2828E7">
          <w:pPr>
            <w:pStyle w:val="TM2"/>
            <w:tabs>
              <w:tab w:val="right" w:leader="dot" w:pos="9628"/>
            </w:tabs>
            <w:rPr>
              <w:noProof/>
              <w:sz w:val="22"/>
              <w:szCs w:val="22"/>
              <w:lang w:val="es-ES" w:eastAsia="es-ES"/>
            </w:rPr>
          </w:pPr>
          <w:hyperlink w:anchor="_Toc97156275" w:history="1">
            <w:r w:rsidR="00B26DFA" w:rsidRPr="00B17DAE">
              <w:rPr>
                <w:rStyle w:val="Lienhypertexte"/>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itre1"/>
        <w:rPr>
          <w:lang w:val="en-US"/>
        </w:rPr>
      </w:pPr>
      <w:bookmarkStart w:id="3" w:name="_Toc481744297"/>
      <w:bookmarkStart w:id="4" w:name="_Toc97156259"/>
      <w:bookmarkEnd w:id="3"/>
      <w:r w:rsidRPr="006E25C4">
        <w:rPr>
          <w:lang w:val="en-US"/>
        </w:rPr>
        <w:lastRenderedPageBreak/>
        <w:t>Introduction</w:t>
      </w:r>
      <w:bookmarkEnd w:id="4"/>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pokeapi-soap-service.</w:t>
      </w:r>
    </w:p>
    <w:p w:rsidR="00BB4162" w:rsidRDefault="00BB4162" w:rsidP="00426961">
      <w:pPr>
        <w:rPr>
          <w:lang w:val="en-US"/>
        </w:rPr>
      </w:pPr>
      <w:r>
        <w:rPr>
          <w:lang w:val="en-US"/>
        </w:rPr>
        <w:t>A Java Spring Boot application that consumes the PokeAPI REST service and exposes a SOAP web service with methods to retrieve various Pokémon details.</w:t>
      </w:r>
    </w:p>
    <w:p w:rsidR="00B675AF" w:rsidRPr="001F5FAC" w:rsidRDefault="00B675AF" w:rsidP="00426961">
      <w:pPr>
        <w:rPr>
          <w:lang w:val="en-US"/>
        </w:rPr>
      </w:pPr>
    </w:p>
    <w:p w:rsidR="00CF2650" w:rsidRDefault="001F5FAC" w:rsidP="001F5FAC">
      <w:pPr>
        <w:pStyle w:val="Titre1"/>
      </w:pPr>
      <w:bookmarkStart w:id="5" w:name="_Toc97156260"/>
      <w:r>
        <w:t>Configuration</w:t>
      </w:r>
      <w:bookmarkEnd w:id="5"/>
    </w:p>
    <w:p w:rsidR="00CF2650" w:rsidRDefault="001F5FAC" w:rsidP="00CF2650">
      <w:pPr>
        <w:numPr>
          <w:ilvl w:val="0"/>
          <w:numId w:val="3"/>
        </w:numPr>
      </w:pPr>
      <w:r>
        <w:t>Quality Profiles</w:t>
      </w:r>
    </w:p>
    <w:p w:rsidR="00CF2650" w:rsidRDefault="001F5FAC" w:rsidP="00B6799A">
      <w:pPr>
        <w:pStyle w:val="Paragraphedeliste"/>
        <w:numPr>
          <w:ilvl w:val="1"/>
          <w:numId w:val="3"/>
        </w:numPr>
      </w:pPr>
      <w:r>
        <w:t>Names</w:t>
      </w:r>
      <w:r w:rsidR="00CF2650">
        <w:t xml:space="preserve">: Sonar way [Java]; Sonar way [XML]; </w:t>
      </w:r>
    </w:p>
    <w:p w:rsidR="00CF2650" w:rsidRDefault="001F5FAC" w:rsidP="00CF2650">
      <w:pPr>
        <w:numPr>
          <w:ilvl w:val="1"/>
          <w:numId w:val="3"/>
        </w:numPr>
      </w:pPr>
      <w:r>
        <w:t>Files</w:t>
      </w:r>
      <w:r w:rsidR="00CF2650">
        <w:t xml:space="preserve">: 4d325172-74ca-4ac5-b1ec-2268059b6424.json; b3460f59-c417-47b6-badf-79f3251d11ff.json;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6" w:name="_Toc481744298"/>
      <w:bookmarkEnd w:id="6"/>
      <w:r>
        <w:br w:type="page"/>
      </w:r>
    </w:p>
    <w:p w:rsidR="005F2CF0" w:rsidRDefault="005F2CF0" w:rsidP="005F2CF0">
      <w:pPr>
        <w:pStyle w:val="Titre1"/>
      </w:pPr>
      <w:bookmarkStart w:id="7" w:name="_Toc97156261"/>
      <w:r>
        <w:lastRenderedPageBreak/>
        <w:t>Synthesis</w:t>
      </w:r>
      <w:bookmarkEnd w:id="7"/>
    </w:p>
    <w:p w:rsidR="00B675AF" w:rsidRDefault="00B675AF" w:rsidP="00B675AF">
      <w:pPr>
        <w:pStyle w:val="Titre2"/>
      </w:pPr>
      <w:bookmarkStart w:id="8" w:name="_Toc97156262"/>
      <w:r>
        <w:t>Analysis Status</w:t>
      </w:r>
      <w:bookmarkEnd w:id="8"/>
    </w:p>
    <w:tbl>
      <w:tblPr>
        <w:tblStyle w:val="Trameclaire-Accent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A.png"/>
                  <a:graphic xmlns:a="http://schemas.openxmlformats.org/drawingml/2006/main">
                    <a:graphicData uri="http://schemas.openxmlformats.org/drawingml/2006/picture">
                      <pic:pic xmlns:pic="http://schemas.openxmlformats.org/drawingml/2006/picture">
                        <pic:nvPicPr>
                          <pic:cNvPr id="0" name="Picture 0"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A.png"/>
                  <a:graphic xmlns:a="http://schemas.openxmlformats.org/drawingml/2006/main">
                    <a:graphicData uri="http://schemas.openxmlformats.org/drawingml/2006/picture">
                      <pic:pic xmlns:pic="http://schemas.openxmlformats.org/drawingml/2006/picture">
                        <pic:nvPicPr>
                          <pic:cNvPr id="0" name="Picture 4"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A.png"/>
                  <a:graphic xmlns:a="http://schemas.openxmlformats.org/drawingml/2006/main">
                    <a:graphicData uri="http://schemas.openxmlformats.org/drawingml/2006/picture">
                      <pic:pic xmlns:pic="http://schemas.openxmlformats.org/drawingml/2006/picture">
                        <pic:nvPicPr>
                          <pic:cNvPr id="0" name="Picture 6"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itre2"/>
        <w:rPr>
          <w:lang w:val="en-US"/>
        </w:rPr>
      </w:pPr>
      <w:bookmarkStart w:id="9" w:name="_Toc72936669"/>
      <w:bookmarkStart w:id="10" w:name="_Toc97156263"/>
      <w:r>
        <w:rPr>
          <w:lang w:val="en-US"/>
        </w:rPr>
        <w:t>Quality gate status</w:t>
      </w:r>
      <w:bookmarkEnd w:id="9"/>
      <w:bookmarkEnd w:id="10"/>
    </w:p>
    <w:tbl>
      <w:tblPr>
        <w:tblStyle w:val="Trameclaire-Accent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OK.png"/>
                  <a:graphic xmlns:a="http://schemas.openxmlformats.org/drawingml/2006/main">
                    <a:graphicData uri="http://schemas.openxmlformats.org/drawingml/2006/picture">
                      <pic:pic xmlns:pic="http://schemas.openxmlformats.org/drawingml/2006/picture">
                        <pic:nvPicPr>
                          <pic:cNvPr id="0" name="Picture 8" descr="OK.png"/>
                          <pic:cNvPicPr>
                            <a:picLocks noChangeAspect="true"/>
                          </pic:cNvPicPr>
                        </pic:nvPicPr>
                        <pic:blipFill>
                          <a:blip r:embed="rId17"/>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Trameclaire-Accent5"/>
        <w:tblW w:w="5000" w:type="pct"/>
        <w:tblLook w:val="0420" w:firstRow="1" w:lastRow="0" w:firstColumn="0" w:lastColumn="0" w:noHBand="0" w:noVBand="1"/>
      </w:tblPr>
      <w:tblGrid>
        <w:gridCol w:w="9854"/>
      </w:tblGrid>
    </w:tbl>
    <w:p w:rsidR="00E31B8D" w:rsidRPr="00B675AF" w:rsidRDefault="00E31B8D" w:rsidP="00B675AF"/>
    <w:p w:rsidR="00B675AF" w:rsidRDefault="00B675AF" w:rsidP="00B675AF">
      <w:pPr>
        <w:pStyle w:val="Titre2"/>
      </w:pPr>
      <w:bookmarkStart w:id="11" w:name="_Toc97156264"/>
      <w:r>
        <w:t>Metrics</w:t>
      </w:r>
      <w:bookmarkEnd w:id="11"/>
    </w:p>
    <w:tbl>
      <w:tblPr>
        <w:tblStyle w:val="Trameclaire-Accent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0.0 %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1.9 %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22.0</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99.7</w:t>
            </w:r>
            <w:r>
              <w:rPr>
                <w:b/>
                <w:lang w:val="en-US"/>
              </w:rPr>
              <w:t xml:space="preserve"> %</w:t>
            </w:r>
          </w:p>
        </w:tc>
      </w:tr>
    </w:tbl>
    <w:p w:rsidR="00B675AF" w:rsidRDefault="00B675AF" w:rsidP="00B675AF"/>
    <w:p w:rsidR="00B26DFA" w:rsidRDefault="00B26DFA" w:rsidP="00B26DFA"/>
    <w:p w:rsidR="00B26DFA" w:rsidRDefault="00B26DFA" w:rsidP="00B26DFA">
      <w:pPr>
        <w:pStyle w:val="Titre2"/>
      </w:pPr>
      <w:bookmarkStart w:id="12" w:name="_Toc97156265"/>
      <w:r>
        <w:t>Tests</w:t>
      </w:r>
      <w:bookmarkEnd w:id="12"/>
    </w:p>
    <w:tbl>
      <w:tblPr>
        <w:tblStyle w:val="Trameclaire-Accent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0</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itre2"/>
      </w:pPr>
      <w:bookmarkStart w:id="13" w:name="_Toc97156266"/>
      <w:r>
        <w:t>Detailed t</w:t>
      </w:r>
      <w:r w:rsidR="005D6ED8">
        <w:t>echnical debt</w:t>
      </w:r>
      <w:bookmarkEnd w:id="13"/>
    </w:p>
    <w:tbl>
      <w:tblPr>
        <w:tblStyle w:val="Trameclaire-Accent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w:t>
            </w:r>
          </w:p>
        </w:tc>
        <w:tc>
          <w:p>
            <w:r>
              <w:t>-</w:t>
            </w:r>
          </w:p>
        </w:tc>
        <w:tc>
          <w:p>
            <w:r>
              <w:t>0d 1h 20min</w:t>
            </w:r>
          </w:p>
        </w:tc>
        <w:tc>
          <w:p>
            <w:r>
              <w:t>0d 1h 20min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itre2"/>
      </w:pPr>
      <w:bookmarkStart w:id="14" w:name="_Toc97156267"/>
      <w:r>
        <w:lastRenderedPageBreak/>
        <w:t>Metrics</w:t>
      </w:r>
      <w:r w:rsidR="006365C1">
        <w:t xml:space="preserve"> R</w:t>
      </w:r>
      <w:r w:rsidR="003E4987">
        <w:t>ange</w:t>
      </w:r>
      <w:bookmarkEnd w:id="14"/>
    </w:p>
    <w:tbl>
      <w:tblPr>
        <w:tblStyle w:val="Trameclaire-Accent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7.0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44.0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3.0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909.0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7.5</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itre2"/>
        <w:rPr>
          <w:lang w:val="en-US"/>
        </w:rPr>
      </w:pPr>
      <w:bookmarkStart w:id="15" w:name="_Toc97156268"/>
      <w:r>
        <w:rPr>
          <w:lang w:val="en-US"/>
        </w:rPr>
        <w:t>Volume</w:t>
      </w:r>
      <w:bookmarkEnd w:id="15"/>
    </w:p>
    <w:tbl>
      <w:tblPr>
        <w:tblStyle w:val="Trameclaire-Accent5"/>
        <w:tblW w:w="5000" w:type="pct"/>
        <w:tblLook w:val="0420" w:firstRow="1" w:lastRow="0" w:firstColumn="0" w:lastColumn="0" w:noHBand="0" w:noVBand="1"/>
        <w:tblCaption w:val="TT-CATEGORIES-TT"/>
      </w:tblPr>
      <w:tblGrid>
        <w:gridCol w:w="9854"/>
      </w:tblGrid>
      <w:tr>
        <w:tc>
          <w:p>
            <w:r>
              <w:t>Language</w:t>
            </w:r>
          </w:p>
        </w:tc>
        <w:tc>
          <w:p>
            <w:r>
              <w:t>Number</w:t>
            </w:r>
          </w:p>
        </w:tc>
      </w:tr>
      <w:tr>
        <w:tc>
          <w:p>
            <w:r>
              <w:t>Java</w:t>
            </w:r>
          </w:p>
        </w:tc>
        <w:tc>
          <w:p>
            <w:r>
              <w:t>909</w:t>
            </w:r>
          </w:p>
        </w:tc>
      </w:tr>
      <w:tr>
        <w:tc>
          <w:p>
            <w:r>
              <w:t>XML</w:t>
            </w:r>
          </w:p>
        </w:tc>
        <w:tc>
          <w:p>
            <w:r>
              <w:t>196</w:t>
            </w:r>
          </w:p>
        </w:tc>
      </w:tr>
      <w:tr>
        <w:tc>
          <w:p>
            <w:r>
              <w:t>Total</w:t>
            </w:r>
          </w:p>
        </w:tc>
        <w:tc>
          <w:p>
            <w:r>
              <w:t>1105</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itre1"/>
        <w:rPr>
          <w:lang w:val="en-US"/>
        </w:rPr>
      </w:pPr>
      <w:bookmarkStart w:id="16" w:name="_Toc97156269"/>
      <w:r>
        <w:rPr>
          <w:lang w:val="en-US"/>
        </w:rPr>
        <w:lastRenderedPageBreak/>
        <w:t>Issues</w:t>
      </w:r>
      <w:bookmarkEnd w:id="16"/>
    </w:p>
    <w:p w:rsidR="00E24710" w:rsidRPr="00BB4162" w:rsidRDefault="00E24710" w:rsidP="00E24710">
      <w:pPr>
        <w:pStyle w:val="Titre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eastAsia="fr-FR"/>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eastAsia="fr-FR"/>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eastAsia="fr-FR"/>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eastAsia="fr-FR"/>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itre2"/>
        <w:rPr>
          <w:lang w:val="en-US"/>
        </w:rPr>
      </w:pPr>
      <w:bookmarkStart w:id="18" w:name="_Toc97156271"/>
      <w:r w:rsidRPr="001F5FAC">
        <w:rPr>
          <w:lang w:val="en-US"/>
        </w:rPr>
        <w:lastRenderedPageBreak/>
        <w:t>Issues count by severity and type</w:t>
      </w:r>
      <w:bookmarkEnd w:id="18"/>
    </w:p>
    <w:tbl>
      <w:tblPr>
        <w:tblStyle w:val="Trameclaire-Accent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0</w:t>
            </w:r>
          </w:p>
        </w:tc>
        <w:tc>
          <w:p>
            <w:r>
              <w:t>0</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7</w:t>
            </w:r>
          </w:p>
        </w:tc>
        <w:tc>
          <w:p>
            <w:r>
              <w:t>9</w:t>
            </w:r>
          </w:p>
        </w:tc>
        <w:tc>
          <w:p>
            <w:r>
              <w:t>5</w:t>
            </w:r>
          </w:p>
        </w:tc>
        <w:tc>
          <w:p>
            <w:r>
              <w:t>0</w:t>
            </w:r>
          </w:p>
        </w:tc>
        <w:tc>
          <w:p>
            <w:r>
              <w:t>0</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itre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Trameclaire-Accent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JUnit5 test classes and methods should have default package visibility</w:t>
            </w:r>
          </w:p>
        </w:tc>
        <w:tc>
          <w:p>
            <w:r>
              <w:t xml:space="preserve">JUnit5 test classes and methods should generally have package visibility. To fix this issue, change their visibility to the default package
visibility.
Why is this an issue?
JUnit5 is more tolerant regarding the visibility of test classes and methods than JUnit4, which required everything to be public. Test
classes and methods can have any visibility except private. It is however recommended to use the default package visibility to improve
readability.
  Test classes, test methods, and lifecycle methods are not required to be public, but they must not be private.
  It is generally recommended to omit the public modifier for test classes, test methods, and lifecycle methods unless there is a technical reason
  for doing so – for example, when a test class is extended by a test class in another package. Another technical reason for making classes and
  methods public is to simplify testing on the module path when using the Java Module System.
  — JUnit5 User Guide
What is the potential impact?
The code will be non-conventional and readability can be slightly affected.
Exceptions
This rule does not raise an issue when the visibility is set to private, because private test methods and classes are
systematically ignored by JUnit5, without a proper warning. In this case, there is also an impact on reliability and so it is handled by the rule
S5810.
How to fix it
You can simply change the visibility by removing the public or protected keywords.
Code examples
Noncompliant code example
import org.junit.jupiter.api.Test;
public class MyClassTest { // Noncompliant - modifier can be removed
  @Test
  protected void test() { // Noncompliant - modifier can be removed
    // ...
  }
}
Compliant solution
import org.junit.jupiter.api.Test;
class MyClassTest {
  @Test
  void test() {
    // ...
  }
}
Resources
Documentation
   JUnit5 User Guide: Test Classes and Methods
</w:t>
            </w:r>
          </w:p>
        </w:tc>
        <w:tc>
          <w:p>
            <w:r>
              <w:t>CODE_SMELL</w:t>
            </w:r>
          </w:p>
        </w:tc>
        <w:tc>
          <w:p>
            <w:r>
              <w:t>INFO</w:t>
            </w:r>
          </w:p>
        </w:tc>
        <w:tc>
          <w:p>
            <w:r>
              <w:t>7</w:t>
            </w:r>
          </w:p>
        </w:tc>
      </w:tr>
      <w:tr>
        <w:tc>
          <w:p>
            <w:r>
              <w:t>Generic exceptions should never be thrown</w:t>
            </w:r>
          </w:p>
        </w:tc>
        <w:tc>
          <w:p>
            <w:r>
              <w:t xml:space="preserve">This rule raises an issue when a generic exception (such as Error, RuntimeException, Throwable, or
Exception) is thrown.
Why is this an issue?
Throwing generic exceptions such as Error, RuntimeException, Throwable, and Exception will have
a negative impact on any code trying to catch these exceptions.
From a consumer perspective, it is generally a best practice to only catch exceptions you intend to handle. Other exceptions should ideally be let
to propagate up the stack trace so that they can be dealt with appropriately. When a generic exception is thrown, it forces consumers to catch
exceptions they do not intend to handle, which they then have to re-throw.
Besides, when working with a generic type of exception, the only way to distinguish between multiple exceptions is to check their message, which is
error-prone and difficult to maintain. Legitimate exceptions may be unintentionally silenced and errors may be hidden.
For instance, when a Throwable is caught and not re-thrown, it may mask errors such as OutOfMemoryError and prevent the
program from terminating gracefully.
When throwing an exception, it is therefore recommended to throw the most specific exception possible so that it can be handled intentionally by
consumers.
Exceptions
Generic exceptions in the signatures of overriding methods are ignored, because an overriding method has to follow the signature of the throw
declaration in the superclass. The issue will be raised on superclass declaration of the method (or won’t be raised at all if superclass is not part
of the analysis).
@Override
public void myMethod() throws Exception {...}
Generic exceptions are also ignored in the signatures of methods that make calls to methods that throw generic exceptions.
public void myOtherMethod() throws Exception {
  doTheThing();  // this method throws Exception
}
How to fix it
To fix this issue, make sure to throw specific exceptions that are relevant to the context in which they arise. It is recommended to either:
   Raise a specific exception from the Java standard library when one matches. For example an IllegalArgumentException should be
  thrown when a method receives an invalid argument. 
   Create a custom exception class deriving from Exception or one of its subclasses. 
Code examples
Noncompliant code example
void checkValue(int value) throws Throwable { // Noncompliant: signature is too broad
    if (value == 42) {
        throw new RuntimeException("Value is 42"); // Noncompliant: This will be difficult for consumers to handle
    }
}
Compliant solution
void checkValue(int value) {
    if (value == 42) {
        throw new IllegalArgumentException("Value is 42"); // Compliant
    }
}
Resources
Standards
   CWE - CWE-397 Declaration of Throws for Generic Exception 
   CERT - ERR07-J. Do not throw RuntimeException, Exception, or Throwable 
Related rules
   S1181 - Generic exceptions should not be caught 
</w:t>
            </w:r>
          </w:p>
        </w:tc>
        <w:tc>
          <w:p>
            <w:r>
              <w:t>CODE_SMELL</w:t>
            </w:r>
          </w:p>
        </w:tc>
        <w:tc>
          <w:p>
            <w:r>
              <w:t>MAJOR</w:t>
            </w:r>
          </w:p>
        </w:tc>
        <w:tc>
          <w:p>
            <w:r>
              <w:t>1</w:t>
            </w:r>
          </w:p>
        </w:tc>
      </w:tr>
      <w:tr>
        <w:tc>
          <w:p>
            <w:r>
              <w:t>"Preconditions" and logging arguments should not require evaluation</w:t>
            </w:r>
          </w:p>
        </w:tc>
        <w:tc>
          <w:p>
            <w:r>
              <w:t>Why is this an issue?
Some method calls can effectively be "no-ops", meaning that the invoked method does nothing, based on the application’s configuration (eg: debug
logs in production). However, even if the method effectively does nothing, its arguments may still need to evaluated before the method is called.
Passing message arguments that require further evaluation into a Guava com.google.common.base.Preconditions check can result in a
performance penalty. That is because whether or not they’re needed, each argument must be resolved before the method is actually called.
Similarly, passing concatenated strings into a logging method can also incur a needless performance hit because the concatenation will be performed
every time the method is called, whether or not the log level is low enough to show the message.
Instead, you should structure your code to pass static or pre-computed values into Preconditions conditions check and logging
calls.
Specifically, the built-in string formatting should be used instead of string concatenation, and if the message is the result of a method call,
then Preconditions should be skipped altogether, and the relevant exception should be conditionally thrown instead.
Noncompliant code example
logger.log(Level.DEBUG, "Something went wrong: " + message);  // Noncompliant; string concatenation performed even when log level too high to show DEBUG messages
logger.fine("An exception occurred with message: " + message); // Noncompliant
LOG.error("Unable to open file " + csvPath, e);  // Noncompliant
Preconditions.checkState(a &amp;gt; 0, "Arg must be positive, but got " + a);  // Noncompliant. String concatenation performed even when a &amp;gt; 0
Preconditions.checkState(condition, formatMessage());  // Noncompliant. formatMessage() invoked regardless of condition
Preconditions.checkState(condition, "message: %s", formatMessage());  // Noncompliant
Compliant solution
logger.log(Level.DEBUG, "Something went wrong: {0} ", message);  // String formatting only applied if needed
logger.log(Level.SEVERE, () -&amp;gt; "Something went wrong: " + message); // since Java 8, we can use Supplier , which will be evaluated lazily
logger.fine("An exception occurred with message: {}", message);  // SLF4J, Log4j
LOG.error("Unable to open file {0}", csvPath, e);
if (LOG.isDebugEnabled()) {
  LOG.debug("Unable to open file " + csvPath, e);  // this is compliant, because it will not evaluate if log level is above debug.
}
Preconditions.checkState(arg &amp;gt; 0, "Arg must be positive, but got %d", a);  // String formatting only applied if needed
if (!condition) {
  throw new IllegalStateException(formatMessage());  // formatMessage() only invoked conditionally
}
if (!condition) {
  throw new IllegalStateException("message: " + formatMessage());
}
Exceptions
catch blocks are ignored, because the performance penalty is unimportant on exceptional paths (catch block should not be a part of
standard program flow). Getters are ignored as well as methods called on annotations which can be considered as getters. This rule accounts for
explicit test-level testing with SLF4J methods isXXXEnabled and ignores the bodies of such if statements.</w:t>
            </w:r>
          </w:p>
        </w:tc>
        <w:tc>
          <w:p>
            <w:r>
              <w:t>CODE_SMELL</w:t>
            </w:r>
          </w:p>
        </w:tc>
        <w:tc>
          <w:p>
            <w:r>
              <w:t>MAJOR</w:t>
            </w:r>
          </w:p>
        </w:tc>
        <w:tc>
          <w:p>
            <w:r>
              <w:t>1</w:t>
            </w:r>
          </w:p>
        </w:tc>
      </w:tr>
      <w:tr>
        <w:tc>
          <w:p>
            <w:r>
              <w:t>Format strings should be used correctly</w:t>
            </w:r>
          </w:p>
        </w:tc>
        <w:tc>
          <w:p>
            <w:r>
              <w:t xml:space="preserve">Why is this an issue?
A printf--style format string is a string that contains placeholders, usually represented by special characters such as "%s" or "{}",
depending on the technology in use. These placeholders are replaced by values when the string is printed or logged.
Because printf-style format strings are interpreted at runtime, rather than validated by the compiler, they can contain errors that
result in the wrong strings being created.
This rule checks whether every format string specifier can be correctly matched with one of the additional arguments when calling the following
methods:
   java.lang.String#format 
   java.util.Formatter#format 
   java.io.PrintStream#format 
   java.text.MessageFormat#format 
   java.io.PrintWriter#format 
   java.io.PrintStream#printf 
   java.io.PrintWriter#printf 
   java.lang.String#formatted (since Java 15) 
   logging methods of org.slf4j.Logger, java.util.logging.Logger, org.apache.logging.log4j.Logger.
How to fix it
A printf--style format string is a string that contains placeholders, which are replaced by values when the string is printed or
logged. Mismatch in the format specifiers and the arguments provided can lead to incorrect strings being created.
To avoid issues, a developer should ensure that the provided arguments match format specifiers.
Note that MessageFormat is used by most
logging mechanisms, for example java.util.logging.Logger, thus the single quote must be escaped by a double single
quote.
Code examples
Noncompliant code example
void logging(org.slf4j.Logger slf4jLog, java.util.logging.Logger logger) {
    String.format("Too many arguments %d and %d", 1, 2, 3); // Noncompliant - the third argument '3' is unused
    String.format("First {0} and then {1}", "foo", "bar");  //Noncompliant - it appears there is confusion with the use of "java.text.MessageFormat" - parameters "foo" and "bar" will be ignored here
    slf4jLog.debug("The number: ", 1); // Noncompliant - String contains no format specifiers.
    logger.log(level, "Can't load library \"{0}\"!", "foo"); // Noncompliant - the single quote ' must be escaped
}
Compliant solution
void logging(org.slf4j.Logger slf4jLog, java.util.logging.Logger logger) {
    String.format("Too many arguments %d and %d", 1, 2);
    String.format("First %s and then %s", "foo", "bar");
    slf4jLog.debug("The number: {}", 1);
    logger.log(level, "Can''t load library \"{0}\"!", "foo");
}
Resources
   CERT, FIO47-C. - Use valid format strings 
   java.text.MessageFormat 
</w:t>
            </w:r>
          </w:p>
        </w:tc>
        <w:tc>
          <w:p>
            <w:r>
              <w:t>CODE_SMELL</w:t>
            </w:r>
          </w:p>
        </w:tc>
        <w:tc>
          <w:p>
            <w:r>
              <w:t>MAJOR</w:t>
            </w:r>
          </w:p>
        </w:tc>
        <w:tc>
          <w:p>
            <w:r>
              <w:t>1</w:t>
            </w:r>
          </w:p>
        </w:tc>
      </w:tr>
      <w:tr>
        <w:tc>
          <w:p>
            <w:r>
              <w:t>Field dependency injection should be avoided</w:t>
            </w:r>
          </w:p>
        </w:tc>
        <w:tc>
          <w:p>
            <w:r>
              <w:t xml:space="preserve">Why is this an issue?
Dependency injection frameworks such as Spring support dependency injection by using annotations such as @Inject and
@Autowired. These annotations can be used to inject beans via constructor, setter, and field injection.
Generally speaking, field injection is discouraged. It allows the creation of objects in an invalid state and makes testing more difficult. The
dependencies are not explicit when instantiating a class that uses field injection.
In addition, field injection is not compatible with final fields. Keeping dependencies immutable where possible makes the code easier to
understand, easing development and maintenance.
Finally, because values are injected into fields after the object has been constructed, they cannot be used to initialize other non-injected fields
inline.
This rule raises an issue when the @Autowired or @Inject annotations are used on a field.
How to fix it
Use constructor injection instead.
By using constructor injection, the dependencies are explicit and must be passed during an object’s construction. This avoids the possibility of
instantiating an object in an invalid state and makes types more testable. Fields can be declared final, which makes the code easier to understand, as
dependencies don’t change after instantiation.
Code examples
Noncompliant code example
public class SomeService {
    @Autowired
    private SomeDependency someDependency; // Noncompliant
    private String name = someDependency.getName(); // Will throw a NullPointerException
}
Compliant solution
public class SomeService {
    private final SomeDependency someDependency;
    private final String name;
    @Autowired
    public SomeService(SomeDependency someDependency) {
        this.someDependency = someDependency;
        name = someDependency.getName();
    }
}
Resources
Articles &amp;amp; blog posts
   Baeldung - Why Is Field Injection Not Recommended? 
   Baeldung - Constructor Dependency Injection in Spring 
   Oliver Drotbohm - Why field injection is evil 
</w:t>
            </w:r>
          </w:p>
        </w:tc>
        <w:tc>
          <w:p>
            <w:r>
              <w:t>CODE_SMELL</w:t>
            </w:r>
          </w:p>
        </w:tc>
        <w:tc>
          <w:p>
            <w:r>
              <w:t>MAJOR</w:t>
            </w:r>
          </w:p>
        </w:tc>
        <w:tc>
          <w:p>
            <w:r>
              <w:t>2</w:t>
            </w:r>
          </w:p>
        </w:tc>
      </w:tr>
      <w:tr>
        <w:tc>
          <w:p>
            <w:r>
              <w:t>Exceptions in "throws" clauses should not be superfluous</w:t>
            </w:r>
          </w:p>
        </w:tc>
        <w:tc>
          <w:p>
            <w:r>
              <w:t xml:space="preserve">Why is this an issue?
Superfluous exceptions within throws clauses have negative effects on the readability and maintainability of the code. An exception in
a throws clause is superfluous if it is:
   listed multiple times 
   a subclass of another listed exception 
   not actually thrown by any execution path of the method 
Noncompliant code example
void foo() throws MyException, MyException {}  // Noncompliant; should be listed once
void bar() throws Throwable, Exception {}  // Noncompliant; Exception is a subclass of Throwable
void boo() throws IOException { // Noncompliant; IOException cannot be thrown
  System.out.println("Hi!");
}
Compliant solution
void foo() throws MyException {}
void bar() throws Throwable {}
void boo() {
  System.out.println("Hi!");
}
Exceptions
The rule will not raise any issue for exceptions that cannot be thrown from the method body:
   in interface default methods 
   in overriding and implementating methods 
   in non-private methods that only throw, have empty bodies, or a single return statement. 
   in overridable methods (non-final, or not member of a final class, non-static, non-private), if the exception is documented with a proper
  JavaDoc 
interface MyInterface {
  default void defaultMethod() throws IOException {
    System.out.println("Hi!");
  }
  void doSomething() throws IOException;
}
class A implements MyInterface {
  @Override
  void doSomething() throws IOException {
    System.out.println("Hi!");
  }
  public void emptyBody() throws IOException {}
  protected void singleThrowStatement() throws IOException {
    throw new UnsupportedOperationException("This method should be implemented in subclasses");
  }
  Object singleReturnStatement() throws IOException {
    return null;
  }
  /**
   * @throws IOException Overriding classes may throw this exception if they print values into a file
   */
  protected void overridable() throws IOException { // no issue, method is overridable and the exception has proper javadoc
    System.out.println("foo");
  }
}
Also, the rule will not raise issues on RuntimeException, or one of its sub-classes, because documenting runtime exceptions which
could be thrown can ultimately help users of the method understand its behavior.
class B {
  int possibleDivisionByZero(int a, int b) throws ArithmeticException {
      return a / b;
  }
}
</w:t>
            </w:r>
          </w:p>
        </w:tc>
        <w:tc>
          <w:p>
            <w:r>
              <w:t>CODE_SMELL</w:t>
            </w:r>
          </w:p>
        </w:tc>
        <w:tc>
          <w:p>
            <w:r>
              <w:t>MINOR</w:t>
            </w:r>
          </w:p>
        </w:tc>
        <w:tc>
          <w:p>
            <w:r>
              <w:t>4</w:t>
            </w:r>
          </w:p>
        </w:tc>
      </w:tr>
      <w:tr>
        <w:tc>
          <w:p>
            <w:r>
              <w:t>Local variables should not be declared and then immediately returned or thrown</w:t>
            </w:r>
          </w:p>
        </w:tc>
        <w:tc>
          <w:p>
            <w:r>
              <w:t xml:space="preserve">Why is this an issue?
Declaring a variable only to immediately return or throw it is considered a bad practice because it adds unnecessary complexity to the code. This
practice can make the code harder to read and understand, as it introduces an extra step that doesn’t add any value. Instead of declaring a variable
and then immediately returning or throwing it, it is generally better to return or throw the value directly. This makes the code cleaner, simpler, and
easier to understand.
How to fix it
Declaring a variable only to immediately return or throw it is considered a bad practice because it adds unnecessary complexity to the code. To fix
the issue, return or throw the value directly.
Code examples
Noncompliant code example
public long computeDurationInMilliseconds() {
  long duration = (((hours * 60) + minutes) * 60 + seconds) * 1000;
  return duration;
}
Compliant solution
public long computeDurationInMilliseconds() {
  return (((hours * 60) + minutes) * 60 + seconds) * 1000;
}
Noncompliant code example
public void doSomething() {
  RuntimeException myException = new RuntimeException();
  throw myException;
}
Compliant solution
public void doSomething() {
  throw new RuntimeException();
}
</w:t>
            </w:r>
          </w:p>
        </w:tc>
        <w:tc>
          <w:p>
            <w:r>
              <w:t>CODE_SMELL</w:t>
            </w:r>
          </w:p>
        </w:tc>
        <w:tc>
          <w:p>
            <w:r>
              <w:t>MINOR</w:t>
            </w:r>
          </w:p>
        </w:tc>
        <w:tc>
          <w:p>
            <w:r>
              <w:t>5</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itre1"/>
        <w:rPr>
          <w:lang w:val="en-US"/>
        </w:rPr>
      </w:pPr>
      <w:bookmarkStart w:id="21" w:name="_Toc97156273"/>
      <w:r>
        <w:rPr>
          <w:lang w:val="en-US"/>
        </w:rPr>
        <w:lastRenderedPageBreak/>
        <w:t>Security Hotspots</w:t>
      </w:r>
      <w:bookmarkEnd w:id="21"/>
    </w:p>
    <w:p w:rsidR="00265064" w:rsidRDefault="00C45E1C" w:rsidP="00E01693">
      <w:pPr>
        <w:pStyle w:val="Titre2"/>
        <w:rPr>
          <w:lang w:val="en-US"/>
        </w:rPr>
      </w:pPr>
      <w:bookmarkStart w:id="22" w:name="_Toc97156274"/>
      <w:r>
        <w:rPr>
          <w:lang w:val="en-US"/>
        </w:rPr>
        <w:t>Security hotspots count by category and priority</w:t>
      </w:r>
      <w:bookmarkEnd w:id="22"/>
    </w:p>
    <w:tbl>
      <w:tblPr>
        <w:tblStyle w:val="Trameclaire-Accent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0</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0</w:t>
            </w:r>
          </w:p>
        </w:tc>
      </w:tr>
      <w:tr>
        <w:tc>
          <w:p>
            <w:r>
              <w:t>Open Redirect</w:t>
            </w:r>
          </w:p>
        </w:tc>
        <w:tc>
          <w:p>
            <w:r>
              <w:t>0</w:t>
            </w:r>
          </w:p>
        </w:tc>
        <w:tc>
          <w:p>
            <w:r>
              <w:t>0</w:t>
            </w:r>
          </w:p>
        </w:tc>
        <w:tc>
          <w:p>
            <w:r>
              <w:t>0</w:t>
            </w:r>
          </w:p>
        </w:tc>
      </w:tr>
      <w:tr>
        <w:tc>
          <w:p>
            <w:r>
              <w:t>Permission</w:t>
            </w:r>
          </w:p>
        </w:tc>
        <w:tc>
          <w:p>
            <w:r>
              <w:t>0</w:t>
            </w:r>
          </w:p>
        </w:tc>
        <w:tc>
          <w:p>
            <w:r>
              <w:t>0</w:t>
            </w:r>
          </w:p>
        </w:tc>
        <w:tc>
          <w:p>
            <w:r>
              <w:t>0</w:t>
            </w:r>
          </w:p>
        </w:tc>
      </w:tr>
      <w:tr>
        <w:tc>
          <w:p>
            <w:r>
              <w:t>SQL Injection</w:t>
            </w:r>
          </w:p>
        </w:tc>
        <w:tc>
          <w:p>
            <w:r>
              <w:t>0</w:t>
            </w:r>
          </w:p>
        </w:tc>
        <w:tc>
          <w:p>
            <w:r>
              <w:t>0</w:t>
            </w:r>
          </w:p>
        </w:tc>
        <w:tc>
          <w:p>
            <w:r>
              <w:t>0</w:t>
            </w:r>
          </w:p>
        </w:tc>
      </w:tr>
      <w:tr>
        <w:tc>
          <w:p>
            <w:r>
              <w:t>Encryption of Sensitive Data</w:t>
            </w:r>
          </w:p>
        </w:tc>
        <w:tc>
          <w:p>
            <w:r>
              <w:t>0</w:t>
            </w:r>
          </w:p>
        </w:tc>
        <w:tc>
          <w:p>
            <w:r>
              <w:t>0</w:t>
            </w:r>
          </w:p>
        </w:tc>
        <w:tc>
          <w:p>
            <w:r>
              <w:t>0</w:t>
            </w:r>
          </w:p>
        </w:tc>
      </w:tr>
      <w:tr>
        <w:tc>
          <w:p>
            <w:r>
              <w:t>Traceability</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0</w:t>
            </w:r>
          </w:p>
        </w:tc>
        <w:tc>
          <w:p>
            <w:r>
              <w:t>0</w:t>
            </w:r>
          </w:p>
        </w:tc>
        <w:tc>
          <w:p>
            <w:r>
              <w:t>0</w:t>
            </w:r>
          </w:p>
        </w:tc>
      </w:tr>
    </w:tbl>
    <w:p w:rsidR="00E01693" w:rsidRPr="00E01693" w:rsidRDefault="00E01693" w:rsidP="00E01693">
      <w:pPr>
        <w:rPr>
          <w:lang w:val="en-US"/>
        </w:rPr>
      </w:pPr>
    </w:p>
    <w:p w:rsidR="00AC53C2" w:rsidRDefault="005D0643" w:rsidP="00E01693">
      <w:pPr>
        <w:pStyle w:val="Titre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Trameclaire-Accent5"/>
        <w:tblW w:w="5000" w:type="pct"/>
        <w:tblLook w:val="0420" w:firstRow="1" w:lastRow="0" w:firstColumn="0" w:lastColumn="0" w:noHBand="0" w:noVBand="1"/>
      </w:tblPr>
      <w:tblGrid>
        <w:gridCol w:w="9854"/>
      </w:tblGrid>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8E7" w:rsidRDefault="002828E7">
      <w:r>
        <w:separator/>
      </w:r>
    </w:p>
  </w:endnote>
  <w:endnote w:type="continuationSeparator" w:id="0">
    <w:p w:rsidR="002828E7" w:rsidRDefault="00282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826036"/>
      <w:docPartObj>
        <w:docPartGallery w:val="Page Numbers (Bottom of Page)"/>
        <w:docPartUnique/>
      </w:docPartObj>
    </w:sdtPr>
    <w:sdtEndPr/>
    <w:sdtContent>
      <w:p w:rsidR="001F5FAC" w:rsidRDefault="001F5FAC">
        <w:pPr>
          <w:pStyle w:val="Pieddepage"/>
        </w:pPr>
        <w:r>
          <w:rPr>
            <w:noProof/>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4E695B" w:rsidRPr="004E695B">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4E695B" w:rsidRPr="004E695B">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8E7" w:rsidRDefault="002828E7">
      <w:r>
        <w:separator/>
      </w:r>
    </w:p>
  </w:footnote>
  <w:footnote w:type="continuationSeparator" w:id="0">
    <w:p w:rsidR="002828E7" w:rsidRDefault="00282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064" w:rsidRDefault="001F5FAC" w:rsidP="001F5FAC">
    <w:pPr>
      <w:pStyle w:val="En-tte"/>
      <w:jc w:val="left"/>
    </w:pPr>
    <w:r>
      <w:t>pokeapi-soap-service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20E46"/>
    <w:rsid w:val="00230739"/>
    <w:rsid w:val="00232D15"/>
    <w:rsid w:val="002432F1"/>
    <w:rsid w:val="002544A9"/>
    <w:rsid w:val="00255912"/>
    <w:rsid w:val="00265064"/>
    <w:rsid w:val="002828E7"/>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4E695B"/>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26AF"/>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itre1">
    <w:name w:val="heading 1"/>
    <w:basedOn w:val="Normal"/>
    <w:next w:val="Normal"/>
    <w:link w:val="Titre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itre4">
    <w:name w:val="heading 4"/>
    <w:basedOn w:val="Normal"/>
    <w:next w:val="Normal"/>
    <w:link w:val="Titre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itre5">
    <w:name w:val="heading 5"/>
    <w:basedOn w:val="Normal"/>
    <w:next w:val="Normal"/>
    <w:link w:val="Titre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itre6">
    <w:name w:val="heading 6"/>
    <w:basedOn w:val="Normal"/>
    <w:next w:val="Normal"/>
    <w:link w:val="Titre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itre7">
    <w:name w:val="heading 7"/>
    <w:basedOn w:val="Normal"/>
    <w:next w:val="Normal"/>
    <w:link w:val="Titre7Car"/>
    <w:uiPriority w:val="9"/>
    <w:unhideWhenUsed/>
    <w:qFormat/>
    <w:rsid w:val="001F5FAC"/>
    <w:pPr>
      <w:spacing w:before="300" w:after="0"/>
      <w:outlineLvl w:val="6"/>
    </w:pPr>
    <w:rPr>
      <w:caps/>
      <w:color w:val="003C6C" w:themeColor="accent1" w:themeShade="BF"/>
      <w:spacing w:val="10"/>
      <w:sz w:val="22"/>
      <w:szCs w:val="22"/>
    </w:rPr>
  </w:style>
  <w:style w:type="paragraph" w:styleId="Titre8">
    <w:name w:val="heading 8"/>
    <w:basedOn w:val="Normal"/>
    <w:next w:val="Normal"/>
    <w:link w:val="Titre8Car"/>
    <w:uiPriority w:val="9"/>
    <w:unhideWhenUsed/>
    <w:qFormat/>
    <w:rsid w:val="001F5FAC"/>
    <w:pPr>
      <w:spacing w:before="300" w:after="0"/>
      <w:outlineLvl w:val="7"/>
    </w:pPr>
    <w:rPr>
      <w:caps/>
      <w:spacing w:val="10"/>
      <w:sz w:val="18"/>
      <w:szCs w:val="18"/>
    </w:rPr>
  </w:style>
  <w:style w:type="paragraph" w:styleId="Titre9">
    <w:name w:val="heading 9"/>
    <w:basedOn w:val="Normal"/>
    <w:next w:val="Normal"/>
    <w:link w:val="Titre9Car"/>
    <w:uiPriority w:val="9"/>
    <w:unhideWhenUsed/>
    <w:qFormat/>
    <w:rsid w:val="001F5FAC"/>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5FAC"/>
    <w:rPr>
      <w:b/>
      <w:bCs/>
      <w:caps/>
      <w:color w:val="FFFFFF" w:themeColor="background1"/>
      <w:spacing w:val="15"/>
      <w:shd w:val="clear" w:color="auto" w:fill="005191" w:themeFill="accent1"/>
    </w:rPr>
  </w:style>
  <w:style w:type="character" w:customStyle="1" w:styleId="Titre2Car">
    <w:name w:val="Titre 2 Car"/>
    <w:basedOn w:val="Policepardfaut"/>
    <w:link w:val="Titre2"/>
    <w:uiPriority w:val="9"/>
    <w:rsid w:val="001F5FAC"/>
    <w:rPr>
      <w:caps/>
      <w:spacing w:val="15"/>
      <w:shd w:val="clear" w:color="auto" w:fill="B6DEFF" w:themeFill="accent1" w:themeFillTint="33"/>
    </w:rPr>
  </w:style>
  <w:style w:type="character" w:customStyle="1" w:styleId="Titre3Car">
    <w:name w:val="Titre 3 Car"/>
    <w:basedOn w:val="Policepardfaut"/>
    <w:link w:val="Titre3"/>
    <w:uiPriority w:val="9"/>
    <w:rsid w:val="001F5FAC"/>
    <w:rPr>
      <w:caps/>
      <w:color w:val="002848" w:themeColor="accent1" w:themeShade="7F"/>
      <w:spacing w:val="15"/>
    </w:rPr>
  </w:style>
  <w:style w:type="character" w:customStyle="1" w:styleId="Titre4Car">
    <w:name w:val="Titre 4 Car"/>
    <w:basedOn w:val="Policepardfaut"/>
    <w:link w:val="Titre4"/>
    <w:uiPriority w:val="9"/>
    <w:rsid w:val="001F5FAC"/>
    <w:rPr>
      <w:caps/>
      <w:color w:val="003C6C" w:themeColor="accent1" w:themeShade="BF"/>
      <w:spacing w:val="10"/>
    </w:rPr>
  </w:style>
  <w:style w:type="character" w:customStyle="1" w:styleId="Titre5Car">
    <w:name w:val="Titre 5 Car"/>
    <w:basedOn w:val="Policepardfaut"/>
    <w:link w:val="Titre5"/>
    <w:uiPriority w:val="9"/>
    <w:rsid w:val="001F5FAC"/>
    <w:rPr>
      <w:caps/>
      <w:color w:val="003C6C" w:themeColor="accent1" w:themeShade="BF"/>
      <w:spacing w:val="10"/>
    </w:rPr>
  </w:style>
  <w:style w:type="character" w:customStyle="1" w:styleId="Titre6Car">
    <w:name w:val="Titre 6 Car"/>
    <w:basedOn w:val="Policepardfaut"/>
    <w:link w:val="Titre6"/>
    <w:uiPriority w:val="9"/>
    <w:rsid w:val="001F5FAC"/>
    <w:rPr>
      <w:caps/>
      <w:color w:val="003C6C" w:themeColor="accent1" w:themeShade="BF"/>
      <w:spacing w:val="10"/>
    </w:rPr>
  </w:style>
  <w:style w:type="character" w:customStyle="1" w:styleId="Titre7Car">
    <w:name w:val="Titre 7 Car"/>
    <w:basedOn w:val="Policepardfaut"/>
    <w:link w:val="Titre7"/>
    <w:uiPriority w:val="9"/>
    <w:rsid w:val="001F5FAC"/>
    <w:rPr>
      <w:caps/>
      <w:color w:val="003C6C" w:themeColor="accent1" w:themeShade="BF"/>
      <w:spacing w:val="10"/>
    </w:rPr>
  </w:style>
  <w:style w:type="character" w:customStyle="1" w:styleId="Titre8Car">
    <w:name w:val="Titre 8 Car"/>
    <w:basedOn w:val="Policepardfaut"/>
    <w:link w:val="Titre8"/>
    <w:uiPriority w:val="9"/>
    <w:rsid w:val="001F5FAC"/>
    <w:rPr>
      <w:caps/>
      <w:spacing w:val="10"/>
      <w:sz w:val="18"/>
      <w:szCs w:val="18"/>
    </w:rPr>
  </w:style>
  <w:style w:type="character" w:customStyle="1" w:styleId="Titre9Car">
    <w:name w:val="Titre 9 Car"/>
    <w:basedOn w:val="Policepardfaut"/>
    <w:link w:val="Titre9"/>
    <w:uiPriority w:val="9"/>
    <w:rsid w:val="001F5FAC"/>
    <w:rPr>
      <w:i/>
      <w:caps/>
      <w:spacing w:val="10"/>
      <w:sz w:val="18"/>
      <w:szCs w:val="18"/>
    </w:rPr>
  </w:style>
  <w:style w:type="character" w:customStyle="1" w:styleId="TextedebullesCar">
    <w:name w:val="Texte de bulles Car"/>
    <w:basedOn w:val="Policepardfaut"/>
    <w:link w:val="Textedebulles"/>
    <w:uiPriority w:val="99"/>
    <w:semiHidden/>
    <w:rsid w:val="002517D7"/>
    <w:rPr>
      <w:rFonts w:ascii="Tahoma" w:hAnsi="Tahoma" w:cs="Tahoma"/>
      <w:sz w:val="16"/>
      <w:szCs w:val="16"/>
    </w:rPr>
  </w:style>
  <w:style w:type="character" w:customStyle="1" w:styleId="En-tteCar">
    <w:name w:val="En-tête Car"/>
    <w:basedOn w:val="Policepardfaut"/>
    <w:uiPriority w:val="99"/>
    <w:rsid w:val="008F5264"/>
    <w:rPr>
      <w:rFonts w:ascii="Arial" w:eastAsia="Times New Roman" w:hAnsi="Arial" w:cs="Arial"/>
      <w:sz w:val="20"/>
      <w:szCs w:val="20"/>
    </w:rPr>
  </w:style>
  <w:style w:type="character" w:styleId="Numrodepage">
    <w:name w:val="page number"/>
    <w:basedOn w:val="Policepardfaut"/>
    <w:rsid w:val="008F5264"/>
  </w:style>
  <w:style w:type="character" w:customStyle="1" w:styleId="PieddepageCar">
    <w:name w:val="Pied de page Car"/>
    <w:basedOn w:val="Policepardfaut"/>
    <w:link w:val="Pieddepage"/>
    <w:uiPriority w:val="99"/>
    <w:qFormat/>
    <w:rsid w:val="008F5264"/>
    <w:rPr>
      <w:rFonts w:ascii="Arial" w:eastAsia="Times New Roman" w:hAnsi="Arial" w:cs="Arial"/>
      <w:sz w:val="10"/>
      <w:szCs w:val="10"/>
      <w:lang w:eastAsia="fr-FR"/>
    </w:rPr>
  </w:style>
  <w:style w:type="character" w:customStyle="1" w:styleId="LienInternet">
    <w:name w:val="Lien Internet"/>
    <w:basedOn w:val="Policepardfaut"/>
    <w:uiPriority w:val="99"/>
    <w:rsid w:val="00D060DA"/>
    <w:rPr>
      <w:color w:val="0000FF"/>
      <w:u w:val="single"/>
    </w:rPr>
  </w:style>
  <w:style w:type="character" w:customStyle="1" w:styleId="TitreCar">
    <w:name w:val="Titre Car"/>
    <w:basedOn w:val="Policepardfaut"/>
    <w:link w:val="Titre"/>
    <w:uiPriority w:val="10"/>
    <w:rsid w:val="001F5FAC"/>
    <w:rPr>
      <w:caps/>
      <w:color w:val="005191" w:themeColor="accent1"/>
      <w:spacing w:val="10"/>
      <w:kern w:val="28"/>
      <w:sz w:val="52"/>
      <w:szCs w:val="52"/>
    </w:rPr>
  </w:style>
  <w:style w:type="character" w:customStyle="1" w:styleId="CodeCar">
    <w:name w:val="Code Car"/>
    <w:basedOn w:val="Policepardfaut"/>
    <w:link w:val="Code"/>
    <w:rsid w:val="00C70664"/>
    <w:rPr>
      <w:rFonts w:ascii="Courier New" w:hAnsi="Courier New" w:cs="Courier New"/>
      <w:color w:val="FFFFFF" w:themeColor="background1"/>
      <w:shd w:val="clear" w:color="auto" w:fill="000000"/>
      <w:lang w:val="en-US"/>
    </w:rPr>
  </w:style>
  <w:style w:type="character" w:customStyle="1" w:styleId="PrformatHTMLCar">
    <w:name w:val="Préformaté HTML Car"/>
    <w:basedOn w:val="Policepardfaut"/>
    <w:link w:val="PrformatHTML"/>
    <w:uiPriority w:val="99"/>
    <w:semiHidden/>
    <w:rsid w:val="00FD546F"/>
    <w:rPr>
      <w:rFonts w:ascii="Courier New" w:eastAsia="Times New Roman" w:hAnsi="Courier New" w:cs="Courier New"/>
      <w:lang w:eastAsia="fr-FR"/>
    </w:rPr>
  </w:style>
  <w:style w:type="character" w:styleId="CodeHTML">
    <w:name w:val="HTML Code"/>
    <w:basedOn w:val="Policepardfaut"/>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Policepardfaut"/>
    <w:link w:val="Description"/>
    <w:rsid w:val="00DC2588"/>
    <w:rPr>
      <w:shd w:val="clear" w:color="auto" w:fill="C6D9F1"/>
      <w:lang w:val="en-US"/>
    </w:rPr>
  </w:style>
  <w:style w:type="character" w:styleId="Textedelespacerserv">
    <w:name w:val="Placeholder Text"/>
    <w:basedOn w:val="Policepardfaut"/>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Titre">
    <w:name w:val="Title"/>
    <w:basedOn w:val="Normal"/>
    <w:next w:val="Normal"/>
    <w:link w:val="TitreCar"/>
    <w:uiPriority w:val="10"/>
    <w:qFormat/>
    <w:rsid w:val="001F5FAC"/>
    <w:pPr>
      <w:spacing w:before="720"/>
    </w:pPr>
    <w:rPr>
      <w:caps/>
      <w:color w:val="005191" w:themeColor="accent1"/>
      <w:spacing w:val="10"/>
      <w:kern w:val="28"/>
      <w:sz w:val="52"/>
      <w:szCs w:val="52"/>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edebulles">
    <w:name w:val="Balloon Text"/>
    <w:basedOn w:val="Normal"/>
    <w:link w:val="TextedebullesCar"/>
    <w:uiPriority w:val="99"/>
    <w:semiHidden/>
    <w:unhideWhenUsed/>
    <w:rsid w:val="002517D7"/>
    <w:rPr>
      <w:rFonts w:ascii="Tahoma" w:hAnsi="Tahoma" w:cs="Tahoma"/>
      <w:sz w:val="16"/>
      <w:szCs w:val="16"/>
    </w:rPr>
  </w:style>
  <w:style w:type="paragraph" w:styleId="En-tte">
    <w:name w:val="header"/>
    <w:basedOn w:val="Normal"/>
    <w:rsid w:val="008F5264"/>
    <w:pPr>
      <w:ind w:right="1134"/>
      <w:jc w:val="right"/>
    </w:pPr>
  </w:style>
  <w:style w:type="paragraph" w:styleId="Pieddepage">
    <w:name w:val="footer"/>
    <w:basedOn w:val="Normal"/>
    <w:link w:val="PieddepageCar"/>
    <w:rsid w:val="008F5264"/>
    <w:rPr>
      <w:rFonts w:eastAsia="Times New Roman" w:cs="Arial"/>
      <w:sz w:val="10"/>
      <w:szCs w:val="10"/>
      <w:lang w:eastAsia="fr-FR"/>
    </w:rPr>
  </w:style>
  <w:style w:type="paragraph" w:styleId="Paragraphedeliste">
    <w:name w:val="List Paragraph"/>
    <w:basedOn w:val="Normal"/>
    <w:uiPriority w:val="34"/>
    <w:qFormat/>
    <w:rsid w:val="001F5FAC"/>
    <w:pPr>
      <w:ind w:left="720"/>
      <w:contextualSpacing/>
    </w:pPr>
  </w:style>
  <w:style w:type="paragraph" w:styleId="En-ttedetabledesmatires">
    <w:name w:val="TOC Heading"/>
    <w:basedOn w:val="Titre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PrformatHTML">
    <w:name w:val="HTML Preformatted"/>
    <w:basedOn w:val="Normal"/>
    <w:link w:val="PrformatHTML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eclaire">
    <w:name w:val="Light List"/>
    <w:basedOn w:val="Tableau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1">
    <w:name w:val="Light List Accent 1"/>
    <w:basedOn w:val="Tableau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Tramemoyenne1">
    <w:name w:val="Medium Shading 1"/>
    <w:basedOn w:val="Tableau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emoyenne1-Accent5">
    <w:name w:val="Medium List 1 Accent 5"/>
    <w:basedOn w:val="Tableau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rilleclaire-Accent5">
    <w:name w:val="Light Grid Accent 5"/>
    <w:basedOn w:val="Tableau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rameclaire-Accent5">
    <w:name w:val="Light Shading Accent 5"/>
    <w:basedOn w:val="Tableau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M1">
    <w:name w:val="toc 1"/>
    <w:basedOn w:val="Normal"/>
    <w:next w:val="Normal"/>
    <w:autoRedefine/>
    <w:uiPriority w:val="39"/>
    <w:unhideWhenUsed/>
    <w:rsid w:val="00BB4162"/>
    <w:pPr>
      <w:tabs>
        <w:tab w:val="right" w:leader="dot" w:pos="9628"/>
      </w:tabs>
      <w:spacing w:after="100"/>
    </w:pPr>
  </w:style>
  <w:style w:type="character" w:styleId="Lienhypertexte">
    <w:name w:val="Hyperlink"/>
    <w:basedOn w:val="Policepardfaut"/>
    <w:uiPriority w:val="99"/>
    <w:unhideWhenUsed/>
    <w:rsid w:val="00E04451"/>
    <w:rPr>
      <w:color w:val="0000FF" w:themeColor="hyperlink"/>
      <w:u w:val="single"/>
    </w:rPr>
  </w:style>
  <w:style w:type="paragraph" w:styleId="Sous-titre">
    <w:name w:val="Subtitle"/>
    <w:basedOn w:val="Normal"/>
    <w:next w:val="Normal"/>
    <w:link w:val="Sous-titreCar"/>
    <w:uiPriority w:val="11"/>
    <w:qFormat/>
    <w:rsid w:val="00BB4162"/>
    <w:pPr>
      <w:spacing w:before="80" w:line="240" w:lineRule="auto"/>
      <w:jc w:val="center"/>
    </w:pPr>
    <w:rPr>
      <w:caps/>
      <w:color w:val="4BACC6" w:themeColor="accent5"/>
      <w:spacing w:val="10"/>
      <w:sz w:val="48"/>
      <w:szCs w:val="48"/>
    </w:rPr>
  </w:style>
  <w:style w:type="character" w:customStyle="1" w:styleId="Sous-titreCar">
    <w:name w:val="Sous-titre Car"/>
    <w:basedOn w:val="Policepardfaut"/>
    <w:link w:val="Sous-titre"/>
    <w:uiPriority w:val="11"/>
    <w:rsid w:val="00BB4162"/>
    <w:rPr>
      <w:caps/>
      <w:color w:val="4BACC6" w:themeColor="accent5"/>
      <w:spacing w:val="10"/>
      <w:sz w:val="48"/>
      <w:szCs w:val="48"/>
    </w:rPr>
  </w:style>
  <w:style w:type="character" w:styleId="lev">
    <w:name w:val="Strong"/>
    <w:uiPriority w:val="22"/>
    <w:qFormat/>
    <w:rsid w:val="001F5FAC"/>
    <w:rPr>
      <w:b/>
      <w:bCs/>
    </w:rPr>
  </w:style>
  <w:style w:type="character" w:styleId="Accentuation">
    <w:name w:val="Emphasis"/>
    <w:uiPriority w:val="20"/>
    <w:qFormat/>
    <w:rsid w:val="001F5FAC"/>
    <w:rPr>
      <w:caps/>
      <w:color w:val="002848" w:themeColor="accent1" w:themeShade="7F"/>
      <w:spacing w:val="5"/>
    </w:rPr>
  </w:style>
  <w:style w:type="paragraph" w:styleId="Sansinterligne">
    <w:name w:val="No Spacing"/>
    <w:basedOn w:val="Normal"/>
    <w:link w:val="SansinterligneCar"/>
    <w:uiPriority w:val="1"/>
    <w:qFormat/>
    <w:rsid w:val="001F5FAC"/>
    <w:pPr>
      <w:spacing w:before="0" w:after="0" w:line="240" w:lineRule="auto"/>
    </w:pPr>
  </w:style>
  <w:style w:type="character" w:customStyle="1" w:styleId="SansinterligneCar">
    <w:name w:val="Sans interligne Car"/>
    <w:basedOn w:val="Policepardfaut"/>
    <w:link w:val="Sansinterligne"/>
    <w:uiPriority w:val="1"/>
    <w:rsid w:val="001F5FAC"/>
    <w:rPr>
      <w:sz w:val="20"/>
      <w:szCs w:val="20"/>
    </w:rPr>
  </w:style>
  <w:style w:type="paragraph" w:styleId="Citation">
    <w:name w:val="Quote"/>
    <w:basedOn w:val="Normal"/>
    <w:next w:val="Normal"/>
    <w:link w:val="CitationCar"/>
    <w:uiPriority w:val="29"/>
    <w:qFormat/>
    <w:rsid w:val="001F5FAC"/>
    <w:rPr>
      <w:i/>
      <w:iCs/>
    </w:rPr>
  </w:style>
  <w:style w:type="character" w:customStyle="1" w:styleId="CitationCar">
    <w:name w:val="Citation Car"/>
    <w:basedOn w:val="Policepardfaut"/>
    <w:link w:val="Citation"/>
    <w:uiPriority w:val="29"/>
    <w:rsid w:val="001F5FAC"/>
    <w:rPr>
      <w:i/>
      <w:iCs/>
      <w:sz w:val="20"/>
      <w:szCs w:val="20"/>
    </w:rPr>
  </w:style>
  <w:style w:type="paragraph" w:styleId="Citationintense">
    <w:name w:val="Intense Quote"/>
    <w:basedOn w:val="Normal"/>
    <w:next w:val="Normal"/>
    <w:link w:val="Citationintense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tionintenseCar">
    <w:name w:val="Citation intense Car"/>
    <w:basedOn w:val="Policepardfaut"/>
    <w:link w:val="Citationintense"/>
    <w:uiPriority w:val="30"/>
    <w:rsid w:val="001F5FAC"/>
    <w:rPr>
      <w:i/>
      <w:iCs/>
      <w:color w:val="005191" w:themeColor="accent1"/>
      <w:sz w:val="20"/>
      <w:szCs w:val="20"/>
    </w:rPr>
  </w:style>
  <w:style w:type="character" w:styleId="Emphaseple">
    <w:name w:val="Subtle Emphasis"/>
    <w:uiPriority w:val="19"/>
    <w:qFormat/>
    <w:rsid w:val="001F5FAC"/>
    <w:rPr>
      <w:i/>
      <w:iCs/>
      <w:color w:val="002848" w:themeColor="accent1" w:themeShade="7F"/>
    </w:rPr>
  </w:style>
  <w:style w:type="character" w:styleId="Emphaseintense">
    <w:name w:val="Intense Emphasis"/>
    <w:uiPriority w:val="21"/>
    <w:qFormat/>
    <w:rsid w:val="001F5FAC"/>
    <w:rPr>
      <w:b/>
      <w:bCs/>
      <w:caps/>
      <w:color w:val="002848" w:themeColor="accent1" w:themeShade="7F"/>
      <w:spacing w:val="10"/>
    </w:rPr>
  </w:style>
  <w:style w:type="character" w:styleId="Rfrenceple">
    <w:name w:val="Subtle Reference"/>
    <w:uiPriority w:val="31"/>
    <w:qFormat/>
    <w:rsid w:val="001F5FAC"/>
    <w:rPr>
      <w:b/>
      <w:bCs/>
      <w:color w:val="005191" w:themeColor="accent1"/>
    </w:rPr>
  </w:style>
  <w:style w:type="character" w:styleId="Rfrenceintense">
    <w:name w:val="Intense Reference"/>
    <w:uiPriority w:val="32"/>
    <w:qFormat/>
    <w:rsid w:val="001F5FAC"/>
    <w:rPr>
      <w:b/>
      <w:bCs/>
      <w:i/>
      <w:iCs/>
      <w:caps/>
      <w:color w:val="005191" w:themeColor="accent1"/>
    </w:rPr>
  </w:style>
  <w:style w:type="character" w:styleId="Titredulivre">
    <w:name w:val="Book Title"/>
    <w:uiPriority w:val="33"/>
    <w:qFormat/>
    <w:rsid w:val="001F5FAC"/>
    <w:rPr>
      <w:color w:val="FFFFFF" w:themeColor="background1"/>
      <w:sz w:val="56"/>
    </w:rPr>
  </w:style>
  <w:style w:type="character" w:customStyle="1" w:styleId="pl-s">
    <w:name w:val="pl-s"/>
    <w:basedOn w:val="Policepardfaut"/>
    <w:rsid w:val="00BC3D96"/>
  </w:style>
  <w:style w:type="paragraph" w:styleId="TM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Feuille_de_calcul_Microsoft_Excel.xlsx" Type="http://schemas.openxmlformats.org/officeDocument/2006/relationships/package"/></Relationships>
</file>

<file path=word/charts/_rels/chart2.xml.rels><?xml version="1.0" encoding="UTF-8" standalone="no"?><Relationships xmlns="http://schemas.openxmlformats.org/package/2006/relationships"><Relationship Id="rId1" Target="../embeddings/Feuille_de_calcul_Microsoft_Excel1.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Feuille_de_calcul_Microsoft_Excel2.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Feuille_de_calcul_Microsoft_Excel3.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A3CD-446B-A1DD-1829A805FD7E}"/>
              </c:ext>
            </c:extLst>
          </c:dPt>
          <c:dPt>
            <c:idx val="1"/>
            <c:bubble3D val="0"/>
            <c:spPr>
              <a:solidFill>
                <a:srgbClr val="FF420E"/>
              </a:solidFill>
              <a:ln>
                <a:noFill/>
              </a:ln>
            </c:spPr>
            <c:extLst>
              <c:ext xmlns:c16="http://schemas.microsoft.com/office/drawing/2014/chart" uri="{C3380CC4-5D6E-409C-BE32-E72D297353CC}">
                <c16:uniqueId val="{00000003-A3CD-446B-A1DD-1829A805FD7E}"/>
              </c:ext>
            </c:extLst>
          </c:dPt>
          <c:dPt>
            <c:idx val="2"/>
            <c:bubble3D val="0"/>
            <c:spPr>
              <a:solidFill>
                <a:srgbClr val="FFD320"/>
              </a:solidFill>
              <a:ln>
                <a:noFill/>
              </a:ln>
            </c:spPr>
            <c:extLst>
              <c:ext xmlns:c16="http://schemas.microsoft.com/office/drawing/2014/chart" uri="{C3380CC4-5D6E-409C-BE32-E72D297353CC}">
                <c16:uniqueId val="{00000005-A3CD-446B-A1DD-1829A805FD7E}"/>
              </c:ext>
            </c:extLst>
          </c:dPt>
          <c:dPt>
            <c:idx val="3"/>
            <c:bubble3D val="0"/>
            <c:spPr>
              <a:solidFill>
                <a:srgbClr val="579D1C"/>
              </a:solidFill>
              <a:ln>
                <a:noFill/>
              </a:ln>
            </c:spPr>
            <c:extLst>
              <c:ext xmlns:c16="http://schemas.microsoft.com/office/drawing/2014/chart" uri="{C3380CC4-5D6E-409C-BE32-E72D297353CC}">
                <c16:uniqueId val="{00000007-A3CD-446B-A1DD-1829A805FD7E}"/>
              </c:ext>
            </c:extLst>
          </c:dPt>
          <c:dPt>
            <c:idx val="4"/>
            <c:bubble3D val="0"/>
            <c:spPr>
              <a:solidFill>
                <a:srgbClr val="4BACC6"/>
              </a:solidFill>
              <a:ln>
                <a:noFill/>
              </a:ln>
            </c:spPr>
            <c:extLs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0</c:v>
                </c:pt>
                <c:pt idx="2">
                  <c:v>5</c:v>
                </c:pt>
                <c:pt idx="3">
                  <c:v>9</c:v>
                </c:pt>
                <c:pt idx="4">
                  <c:v>7</c:v>
                </c:pt>
              </c:numCache>
            </c:numRef>
          </c:val>
          <c:extLs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FE44-497D-83DB-2BDEE0A5D525}"/>
              </c:ext>
            </c:extLst>
          </c:dPt>
          <c:dPt>
            <c:idx val="1"/>
            <c:bubble3D val="0"/>
            <c:spPr>
              <a:solidFill>
                <a:srgbClr val="FF420E"/>
              </a:solidFill>
              <a:ln>
                <a:noFill/>
              </a:ln>
            </c:spPr>
            <c:extLst>
              <c:ext xmlns:c16="http://schemas.microsoft.com/office/drawing/2014/chart" uri="{C3380CC4-5D6E-409C-BE32-E72D297353CC}">
                <c16:uniqueId val="{00000003-FE44-497D-83DB-2BDEE0A5D525}"/>
              </c:ext>
            </c:extLst>
          </c:dPt>
          <c:dPt>
            <c:idx val="2"/>
            <c:bubble3D val="0"/>
            <c:spPr>
              <a:solidFill>
                <a:srgbClr val="FFD320"/>
              </a:solidFill>
              <a:ln>
                <a:noFill/>
              </a:ln>
            </c:spPr>
            <c:extLs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0</c:v>
                </c:pt>
                <c:pt idx="1">
                  <c:v>0</c:v>
                </c:pt>
                <c:pt idx="2">
                  <c:v>21</c:v>
                </c:pt>
              </c:numCache>
            </c:numRef>
          </c:val>
          <c:extLs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45496.81486111111</c:v>
                </c:pt>
              </c:numCache>
            </c:numRef>
          </c:xVal>
          <c:yVal>
            <c:numRef>
              <c:f>Feuil1!$B$2:$B$3</c:f>
              <c:numCache>
                <c:formatCode>General</c:formatCode>
                <c:ptCount val="2"/>
                <c:pt idx="0">
                  <c:v>21</c:v>
                </c:pt>
              </c:numCache>
            </c:numRef>
          </c:yVal>
          <c:smooth val="0"/>
          <c:extLs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fr-FR"/>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45496.81486111111</c:v>
                </c:pt>
              </c:numCache>
            </c:numRef>
          </c:xVal>
          <c:yVal>
            <c:numRef>
              <c:f>Feuil1!$B$2:$B$3</c:f>
              <c:numCache>
                <c:formatCode>General</c:formatCode>
                <c:ptCount val="2"/>
                <c:pt idx="0">
                  <c:v>0.2</c:v>
                </c:pt>
              </c:numCache>
            </c:numRef>
          </c:yVal>
          <c:smooth val="0"/>
          <c:extLs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fr-FR"/>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7EB85-A7E7-44FD-9ABA-B42643A0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490</Words>
  <Characters>2697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2024-05-31T12:15:00Z</dcterms:created>
  <dc:creator>Benoit.Garcon@cnes.fr</dc:creator>
  <dc:language>fr-FR</dc:language>
  <cp:lastModifiedBy>Galpin Thomas</cp:lastModifiedBy>
  <cp:lastPrinted>2013-06-07T14:19:00Z</cp:lastPrinted>
  <dcterms:modified xsi:type="dcterms:W3CDTF">2024-05-31T12:15:00Z</dcterms:modified>
  <cp:revision>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