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FICHA 6- ANÁLISIS DE COSTES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 Y FORMA JURÍDICA</w:t>
      </w:r>
      <w:r>
        <w:rPr>
          <w:rFonts w:ascii="Arial" w:hAnsi="Arial" w:cs="Arial"/>
          <w:b/>
          <w:bCs/>
          <w:sz w:val="36"/>
          <w:szCs w:val="36"/>
          <w:u w:val="single"/>
        </w:rPr>
      </w:r>
      <w:r>
        <w:rPr>
          <w:rFonts w:ascii="Arial" w:hAnsi="Arial" w:cs="Arial"/>
          <w:b/>
          <w:bCs/>
          <w:sz w:val="36"/>
          <w:szCs w:val="36"/>
          <w:u w:val="singl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ANÁLISIS DE COSTES</w:t>
      </w:r>
      <w:r/>
      <w:r/>
    </w:p>
    <w:p>
      <w:pPr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A)Mes de ejemplo:</w:t>
      </w:r>
      <w:r>
        <w:rPr>
          <w:u w:val="single"/>
        </w:rPr>
      </w:r>
    </w:p>
    <w:p>
      <w:pPr>
        <w:pBdr/>
        <w:spacing/>
        <w:ind w:firstLine="708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Costes fijos</w:t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none"/>
        </w:rPr>
        <w:tab/>
      </w:r>
      <w:r>
        <w:rPr>
          <w:b w:val="0"/>
          <w:bCs w:val="0"/>
          <w:highlight w:val="none"/>
          <w:u w:val="none"/>
        </w:rPr>
        <w:t xml:space="preserve">Salarios.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ab/>
        <w:t xml:space="preserve">2 Especialistas en ciberseguridad </w:t>
        <w:tab/>
        <w:tab/>
        <w:tab/>
        <w:t xml:space="preserve">2.500€/Cada uno.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ab/>
        <w:t xml:space="preserve">1 Comercial/marketing.</w:t>
        <w:tab/>
        <w:tab/>
        <w:tab/>
        <w:tab/>
        <w:t xml:space="preserve">1.800€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 xml:space="preserve">Local.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ab/>
        <w:t xml:space="preserve">Alquiler espacio coworking</w:t>
        <w:tab/>
        <w:tab/>
        <w:tab/>
        <w:tab/>
        <w:t xml:space="preserve">600€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ab/>
        <w:t xml:space="preserve">Internet y telefonía</w:t>
        <w:tab/>
        <w:tab/>
        <w:tab/>
        <w:tab/>
        <w:tab/>
        <w:t xml:space="preserve">100€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 xml:space="preserve">Administrativos.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Seguros responsabilidad civil.</w:t>
        <w:tab/>
        <w:tab/>
        <w:tab/>
        <w:t xml:space="preserve">70€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Asesoría legal</w:t>
        <w:tab/>
        <w:tab/>
        <w:tab/>
        <w:tab/>
        <w:tab/>
        <w:tab/>
        <w:t xml:space="preserve">100€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Impuestos, autónomos</w:t>
        <w:tab/>
        <w:tab/>
        <w:tab/>
        <w:tab/>
        <w:t xml:space="preserve">250€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 xml:space="preserve">Infraestructura.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Servidor Privado para pruebas y desarrollo</w:t>
        <w:tab/>
        <w:tab/>
        <w:t xml:space="preserve">100€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Domino y certificados SSL</w:t>
        <w:tab/>
        <w:tab/>
        <w:tab/>
        <w:tab/>
        <w:t xml:space="preserve">30€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Herramientas  desarrollo</w:t>
        <w:tab/>
        <w:tab/>
        <w:tab/>
        <w:tab/>
        <w:t xml:space="preserve">50€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 xml:space="preserve">Marketing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Mantenimiento pagina web</w:t>
        <w:tab/>
        <w:tab/>
        <w:tab/>
        <w:tab/>
        <w:t xml:space="preserve">5€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Publicidad(RRSS,Google Ads, periodicos,...) </w:t>
        <w:tab/>
        <w:t xml:space="preserve">100€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ab/>
        <w:tab/>
        <w:tab/>
        <w:tab/>
        <w:t xml:space="preserve">       ——————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b/>
          <w:bCs/>
          <w:highlight w:val="none"/>
          <w:u w:val="none"/>
        </w:rPr>
      </w:pPr>
      <w:r>
        <w:rPr>
          <w:highlight w:val="none"/>
          <w:u w:val="none"/>
        </w:rPr>
        <w:tab/>
        <w:tab/>
        <w:tab/>
        <w:tab/>
        <w:tab/>
        <w:tab/>
        <w:tab/>
        <w:tab/>
      </w:r>
      <w:r>
        <w:rPr>
          <w:b/>
          <w:bCs/>
          <w:highlight w:val="none"/>
          <w:u w:val="none"/>
        </w:rPr>
        <w:t xml:space="preserve">8.205€, Gastos fijos.</w:t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Costes variables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none"/>
        </w:rPr>
        <w:tab/>
        <w:tab/>
      </w:r>
      <w:r>
        <w:rPr>
          <w:b w:val="0"/>
          <w:bCs w:val="0"/>
          <w:highlight w:val="none"/>
          <w:u w:val="none"/>
        </w:rPr>
        <w:t xml:space="preserve">Materiales fungibles(Papelería,Fotocopias...)</w:t>
        <w:tab/>
        <w:t xml:space="preserve">30€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ab/>
        <w:t xml:space="preserve">Materiales no fungibles(Material informático)</w:t>
        <w:tab/>
        <w:t xml:space="preserve">120€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708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ab/>
        <w:tab/>
        <w:tab/>
        <w:tab/>
        <w:tab/>
        <w:t xml:space="preserve">       -—————-</w:t>
        <w:tab/>
      </w:r>
      <w:r>
        <w:rPr>
          <w:highlight w:val="none"/>
          <w:u w:val="none"/>
        </w:rPr>
      </w:r>
    </w:p>
    <w:p>
      <w:pPr>
        <w:pBdr/>
        <w:spacing/>
        <w:ind w:firstLine="0" w:left="708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ab/>
        <w:tab/>
        <w:tab/>
        <w:tab/>
        <w:tab/>
        <w:tab/>
      </w:r>
      <w:r>
        <w:rPr>
          <w:b/>
          <w:bCs/>
          <w:highlight w:val="none"/>
          <w:u w:val="none"/>
        </w:rPr>
        <w:t xml:space="preserve">150€, Gastos variables.</w:t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highlight w:val="none"/>
          <w:u w:val="single"/>
          <w14:ligatures w14:val="none"/>
        </w:rPr>
      </w:pPr>
      <w:r>
        <w:rPr>
          <w:highlight w:val="none"/>
          <w:u w:val="none"/>
        </w:rPr>
        <w:t xml:space="preserve">B</w:t>
      </w:r>
      <w:r>
        <w:rPr>
          <w:color w:val="000000" w:themeColor="text1"/>
          <w:u w:val="single"/>
        </w:rPr>
        <w:t xml:space="preserve">) </w:t>
      </w:r>
      <w:r>
        <w:rPr>
          <w:color w:val="000000" w:themeColor="text1"/>
          <w:u w:val="single"/>
        </w:rPr>
        <w:t xml:space="preserve">Ejemplo de pre</w:t>
      </w:r>
      <w:r>
        <w:rPr>
          <w:color w:val="000000" w:themeColor="text1"/>
          <w:u w:val="single"/>
        </w:rPr>
        <w:t xml:space="preserve">cios para servic</w:t>
      </w:r>
      <w:r>
        <w:rPr>
          <w:color w:val="000000" w:themeColor="text1"/>
          <w:u w:val="single"/>
        </w:rPr>
        <w:t xml:space="preserve">ios</w:t>
      </w:r>
      <w:r>
        <w:rPr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u w:val="single"/>
          <w14:ligatures w14:val="none"/>
        </w:rPr>
      </w:pPr>
      <w:r>
        <w:rPr>
          <w:color w:val="000000" w:themeColor="text1"/>
          <w:highlight w:val="none"/>
          <w:u w:val="single"/>
        </w:rPr>
      </w:r>
      <w:r>
        <w:rPr>
          <w:color w:val="000000" w:themeColor="text1"/>
          <w:highlight w:val="none"/>
          <w:u w:val="single"/>
        </w:rPr>
      </w:r>
    </w:p>
    <w:tbl>
      <w:tblPr>
        <w:tblStyle w:val="4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074"/>
        <w:gridCol w:w="3446"/>
        <w:gridCol w:w="2835"/>
      </w:tblGrid>
      <w:tr>
        <w:trPr/>
        <w:tc>
          <w:tcPr>
            <w:tcBorders/>
            <w:tcW w:w="3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Servicio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3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Precio de la competencia (referencia)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Precio propuesto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/>
            <w:tcW w:w="3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Suscripción individual básica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3446" w:type="dxa"/>
            <w:vAlign w:val="center"/>
            <w:textDirection w:val="lrTb"/>
            <w:noWrap w:val="false"/>
          </w:tcPr>
          <w:p>
            <w:pPr>
              <w:pBdr/>
              <w:shd w:val="clear" w:color="c5e0b4" w:themeColor="accent6" w:themeTint="66" w:fill="c5e0b4" w:themeFill="accent6" w:themeFillTint="66"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10-25 €/mes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hd w:val="clear" w:color="ffc000" w:fill="ffc000"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20 €/mes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e2f0d9" w:themeColor="accent6" w:themeTint="33" w:fill="e2f0d9" w:themeFill="accent6" w:themeFillTint="33"/>
            <w:tcBorders/>
            <w:tcW w:w="3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eastAsia="Arial" w:cs="Arial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Plan PYME (básico)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3446" w:type="dxa"/>
            <w:vAlign w:val="center"/>
            <w:textDirection w:val="lrTb"/>
            <w:noWrap w:val="false"/>
          </w:tcPr>
          <w:p>
            <w:pPr>
              <w:pBdr/>
              <w:shd w:val="clear" w:color="c5e0b4" w:themeColor="accent6" w:themeTint="66" w:fill="c5e0b4" w:themeFill="accent6" w:themeFillTint="66"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100-300 €/mes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hd w:val="clear" w:color="ffc000" w:fill="ffc000"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200 €/mes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/>
            <w:tcW w:w="3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Auditoría de seguridad (extra)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3446" w:type="dxa"/>
            <w:vAlign w:val="center"/>
            <w:textDirection w:val="lrTb"/>
            <w:noWrap w:val="false"/>
          </w:tcPr>
          <w:p>
            <w:pPr>
              <w:pBdr/>
              <w:shd w:val="clear" w:color="c5e0b4" w:themeColor="accent6" w:themeTint="66" w:fill="c5e0b4" w:themeFill="accent6" w:themeFillTint="66"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150-500 €/auditoría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hd w:val="clear" w:color="ffc000" w:fill="ffc000"/>
              <w:spacing w:after="0" w:before="0" w:line="240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300 €/auditoría</w:t>
            </w:r>
            <w:r>
              <w:rPr>
                <w:color w:val="000000" w:themeColor="text1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/>
        <w:ind/>
        <w:rPr>
          <w:rFonts w:ascii="Arial" w:hAnsi="Arial" w:eastAsia="Arial" w:cs="Arial"/>
          <w:color w:val="000000" w:themeColor="text1"/>
          <w:szCs w:val="24"/>
          <w14:ligatures w14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/>
        <w:ind w:right="0" w:firstLine="0" w:left="0"/>
        <w:rPr>
          <w:color w:val="000000" w:themeColor="text1"/>
          <w:highlight w:val="none"/>
          <w:u w:val="none"/>
          <w14:ligatures w14:val="none"/>
        </w:rPr>
      </w:pP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c. Cálculo del umbral de rentabilidad (punto de equilibrio)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El punto de equilibrio es el número de clientes o ingresos necesarios para cubrir </w:t>
      </w:r>
      <w:r>
        <w:rPr>
          <w:b/>
          <w:bCs/>
          <w:highlight w:val="none"/>
          <w:u w:val="none"/>
        </w:rPr>
        <w:t xml:space="preserve">costes totales</w:t>
      </w:r>
      <w:r>
        <w:rPr>
          <w:b/>
          <w:bCs/>
          <w:highlight w:val="none"/>
          <w:u w:val="none"/>
        </w:rPr>
        <w:t xml:space="preserve">.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Fórmula</w:t>
      </w:r>
      <w:r>
        <w:rPr>
          <w:b/>
          <w:bCs/>
          <w:highlight w:val="none"/>
          <w:u w:val="none"/>
        </w:rPr>
        <w:t xml:space="preserve">: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Umbral de rentabilidad (€)=Costes FijosMargen de Contribucioˊn UnitarioUmbral de rentabilidad (€)=Margen de Contribucioˊn UnitarioCostes Fijos</w:t>
      </w:r>
      <w:r>
        <w:rPr>
          <w:b/>
          <w:bCs/>
          <w:highlight w:val="none"/>
          <w:u w:val="none"/>
        </w:rPr>
        <w:t xml:space="preserve">​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(El margen de contribución es: Precio de venta - Coste variable por unidad)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Supuestos</w:t>
      </w:r>
      <w:r>
        <w:rPr>
          <w:b/>
          <w:bCs/>
          <w:highlight w:val="none"/>
          <w:u w:val="none"/>
        </w:rPr>
        <w:t xml:space="preserve">: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Servicio 1</w:t>
      </w:r>
      <w:r>
        <w:rPr>
          <w:b/>
          <w:bCs/>
          <w:highlight w:val="none"/>
          <w:u w:val="none"/>
        </w:rPr>
        <w:t xml:space="preserve">: Suscripción individual (20 €/mes).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Servicio 2</w:t>
      </w:r>
      <w:r>
        <w:rPr>
          <w:b/>
          <w:bCs/>
          <w:highlight w:val="none"/>
          <w:u w:val="none"/>
        </w:rPr>
        <w:t xml:space="preserve">: Plan PYME (200 €/mes).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Coste variable por servicio</w:t>
      </w:r>
      <w:r>
        <w:rPr>
          <w:b/>
          <w:bCs/>
          <w:highlight w:val="none"/>
          <w:u w:val="none"/>
        </w:rPr>
        <w:t xml:space="preserve">: 150 €/mes (total) ÷ 30 clientes estimados =</w:t>
      </w:r>
      <w:r>
        <w:rPr>
          <w:b/>
          <w:bCs/>
          <w:highlight w:val="none"/>
          <w:u w:val="none"/>
        </w:rPr>
        <w:t xml:space="preserve"> </w:t>
      </w:r>
      <w:r>
        <w:rPr>
          <w:b/>
          <w:bCs/>
          <w:highlight w:val="none"/>
          <w:u w:val="none"/>
        </w:rPr>
        <w:t xml:space="preserve">5 €/cliente</w:t>
      </w:r>
      <w:r>
        <w:rPr>
          <w:b/>
          <w:bCs/>
          <w:highlight w:val="none"/>
          <w:u w:val="none"/>
        </w:rPr>
        <w:t xml:space="preserve">.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Cálculo para mezcla de clientes</w:t>
      </w:r>
      <w:r>
        <w:rPr>
          <w:b/>
          <w:bCs/>
          <w:highlight w:val="none"/>
          <w:u w:val="none"/>
        </w:rPr>
        <w:t xml:space="preserve">: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Supongamos una cartera equilibrada: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20 usuarios individuales (20 × 20 € = 400 €).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10 PYMES (10 × 200 € = 2.000 €).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Ingresos totales</w:t>
      </w:r>
      <w:r>
        <w:rPr>
          <w:b/>
          <w:bCs/>
          <w:highlight w:val="none"/>
          <w:u w:val="none"/>
        </w:rPr>
        <w:t xml:space="preserve">: 2.400 €.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Margen de contribución por servicio</w:t>
      </w:r>
      <w:r>
        <w:rPr>
          <w:b/>
          <w:bCs/>
          <w:highlight w:val="none"/>
          <w:u w:val="none"/>
        </w:rPr>
        <w:t xml:space="preserve">: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Individual: 20 € - 5 € =</w:t>
      </w:r>
      <w:r>
        <w:rPr>
          <w:b/>
          <w:bCs/>
          <w:highlight w:val="none"/>
          <w:u w:val="none"/>
        </w:rPr>
        <w:t xml:space="preserve"> </w:t>
      </w:r>
      <w:r>
        <w:rPr>
          <w:b/>
          <w:bCs/>
          <w:highlight w:val="none"/>
          <w:u w:val="none"/>
        </w:rPr>
        <w:t xml:space="preserve">15 €/usuario</w:t>
      </w:r>
      <w:r>
        <w:rPr>
          <w:b/>
          <w:bCs/>
          <w:highlight w:val="none"/>
          <w:u w:val="none"/>
        </w:rPr>
        <w:t xml:space="preserve">.</w:t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PYME: 200 € - 5 € =</w:t>
      </w:r>
      <w:r>
        <w:rPr>
          <w:b/>
          <w:bCs/>
          <w:highlight w:val="none"/>
          <w:u w:val="none"/>
        </w:rPr>
        <w:t xml:space="preserve"> </w:t>
      </w:r>
      <w:r>
        <w:rPr>
          <w:b/>
          <w:bCs/>
          <w:highlight w:val="none"/>
          <w:u w:val="none"/>
        </w:rPr>
        <w:t xml:space="preserve">195 €/PYME</w:t>
      </w:r>
      <w:r>
        <w:rPr>
          <w:b/>
          <w:bCs/>
          <w:highlight w:val="none"/>
          <w:u w:val="none"/>
        </w:rPr>
        <w:t xml:space="preserve">.</w:t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134" w:right="425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8faff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2025-02-07T22:20:18Z</dcterms:modified>
</cp:coreProperties>
</file>