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2C880" w14:textId="77777777" w:rsidR="008E39B6" w:rsidRDefault="00000000">
      <w:pPr>
        <w:widowControl w:val="0"/>
        <w:jc w:val="both"/>
        <w:rPr>
          <w:rFonts w:ascii="Symbol" w:eastAsia="Symbol" w:hAnsi="Symbol" w:cs="Symbol"/>
        </w:rPr>
      </w:pPr>
      <w:r>
        <w:rPr>
          <w:rStyle w:val="Refdenotaalpie"/>
          <w:rFonts w:ascii="Symbol" w:eastAsia="Symbol" w:hAnsi="Symbol" w:cs="Symbol"/>
        </w:rPr>
        <w:footnoteReference w:customMarkFollows="1" w:id="1"/>
        <w:t></w:t>
      </w:r>
    </w:p>
    <w:p w14:paraId="0072DB6D" w14:textId="1FF57E75" w:rsidR="008E39B6" w:rsidRDefault="00000000">
      <w:pPr>
        <w:pStyle w:val="Ttulo1"/>
      </w:pPr>
      <w:r>
        <w:t>Introducción</w:t>
      </w:r>
      <w:r w:rsidR="00FE6A70">
        <w:rPr>
          <w:noProof/>
        </w:rPr>
        <w:pict w14:anchorId="0D9433D0">
          <v:shapetype id="_x0000_t202" coordsize="21600,21600" o:spt="202" path="m,l,21600r21600,l21600,xe">
            <v:stroke joinstyle="miter"/>
            <v:path gradientshapeok="t" o:connecttype="rect"/>
          </v:shapetype>
          <v:shape id="Frame1" o:spid="_x0000_s2050" type="#_x0000_t202" style="position:absolute;left:0;text-align:left;margin-left:0;margin-top:.05pt;width:468pt;height:55.2pt;z-index:1;visibility:visible;mso-wrap-style:square;mso-wrap-distance-left:9.35pt;mso-wrap-distance-top:9.35pt;mso-wrap-distance-right:9.35pt;mso-wrap-distance-bottom:9.35pt;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" o:allowincell="f" stroked="f">
            <v:fill opacity="0"/>
            <v:textbox inset="0,0,0,0">
              <w:txbxContent>
                <w:p w14:paraId="6A1CA04A" w14:textId="77777777" w:rsidR="00FE6A70" w:rsidRDefault="00FE6A70" w:rsidP="00FE6A70">
                  <w:pPr>
                    <w:pStyle w:val="Heading"/>
                    <w:rPr>
                      <w:lang w:val="es-MX"/>
                    </w:rPr>
                  </w:pPr>
                  <w:r w:rsidRPr="00ED5323">
                    <w:t>Generación Asistida por IA de Material Didáctico a partir de Documentación Curricular</w:t>
                  </w:r>
                </w:p>
                <w:p w14:paraId="4040AFAE" w14:textId="4E8547B4" w:rsidR="008E39B6" w:rsidRDefault="008E39B6">
                  <w:pPr>
                    <w:pStyle w:val="Heading"/>
                    <w:rPr>
                      <w:lang w:val="es-MX"/>
                    </w:rPr>
                  </w:pPr>
                </w:p>
              </w:txbxContent>
            </v:textbox>
            <w10:wrap type="topAndBottom" anchorx="page"/>
          </v:shape>
        </w:pict>
      </w:r>
    </w:p>
    <w:p w14:paraId="5158A110" w14:textId="77777777" w:rsidR="008E39B6" w:rsidRDefault="00000000">
      <w:pPr>
        <w:pStyle w:val="font-claude-response-body"/>
        <w:rPr>
          <w:sz w:val="20"/>
          <w:szCs w:val="20"/>
          <w:lang w:val="es-EC"/>
        </w:rPr>
      </w:pPr>
      <w:r>
        <w:rPr>
          <w:rStyle w:val="animating6ta1u10"/>
          <w:sz w:val="20"/>
          <w:szCs w:val="20"/>
          <w:lang w:val="es-EC"/>
        </w:rPr>
        <w:t>La transformación digital de la educación superior ha impulsado, en los últimos años, la incorporación creciente de sistemas de inteligencia artificial generativa en procesos que tradicionalmente dependían por completo del trabajo manual del cuerpo docente. Entre estos procesos, la elaboración de recursos didácticos —resúmenes, glosarios, bancos de preguntas y actividades de refuerzo— ocupa un lugar central, ya que de su calidad depende en buena medida la experiencia de aprendizaje del estudiante. Sin embargo, esta tarea exige tiempo considerable, conocimientos de diseño instruccional y una revisión cuidadosa de los documentos oficiales de cada asignatura, recursos que no siempre están disponibles de manera simultánea para un docente con múltiples responsabilidades académicas.</w:t>
      </w:r>
    </w:p>
    <w:p w14:paraId="5027D30E" w14:textId="77777777" w:rsidR="008E39B6" w:rsidRDefault="00000000">
      <w:pPr>
        <w:pStyle w:val="font-claude-response-body"/>
        <w:rPr>
          <w:sz w:val="20"/>
          <w:szCs w:val="20"/>
          <w:lang w:val="es-EC"/>
        </w:rPr>
      </w:pPr>
      <w:r>
        <w:rPr>
          <w:rStyle w:val="animating6ta1u10"/>
          <w:sz w:val="20"/>
          <w:szCs w:val="20"/>
          <w:lang w:val="es-EC"/>
        </w:rPr>
        <w:t>Los modelos de lenguaje de gran escala han demostrado una capacidad notable para generar texto coherente y adaptado a instrucciones específicas (Kumar, 2024), lo que los convierte en una herramienta atractiva para automatizar parte de este proceso. No obstante, como señalan Area-Moreira et al. (2024), no todas las herramientas de inteligencia artificial disponibles en el mercado son igualmente apropiadas para contextos educativos: la mayoría de los asistentes conversacionales de propósito general —como ChatGPT, Gemini o Claude en su uso directo— no están diseñados para leer la documentación curricular oficial de una institución, respetar su estructura por unidades, ni garantizar que el contenido generado se ajuste de manera verificable al material fuente. Esta limitación abre una brecha entre la disponibilidad genérica de la inteligencia artificial y la necesidad concreta de soluciones especializadas que operen sobre los documentos reales de cada asignatura.</w:t>
      </w:r>
    </w:p>
    <w:p w14:paraId="22D8A923" w14:textId="77777777" w:rsidR="008E39B6" w:rsidRDefault="00000000">
      <w:pPr>
        <w:pStyle w:val="font-claude-response-body"/>
        <w:rPr>
          <w:sz w:val="20"/>
          <w:szCs w:val="20"/>
          <w:lang w:val="es-EC"/>
        </w:rPr>
      </w:pPr>
      <w:r>
        <w:rPr>
          <w:rStyle w:val="animating6ta1u10"/>
          <w:sz w:val="20"/>
          <w:szCs w:val="20"/>
          <w:lang w:val="es-EC"/>
        </w:rPr>
        <w:t>El presente trabajo aborda esa brecha mediante el desarrollo de un sistema especializado, el Generador de Recursos Didácticos con Inteligencia Artificial, construido como parte del Reto Final de la asignatura de Inteligencia Artificial de la Universidad Técnica Particular de Loja (UTPL). A diferencia de un asistente de propósito general, el sistema desarrollado recibe como entrada los documentos oficiales de una asignatura real —el Plan Docente y, cuando está disponible, la Guía de Estudio—, identifica automáticamente su estructura curricular (código, carrera, ciclo y unidades) sin importar cuál de las plantillas institucionales de la UTPL se haya utilizado, y genera, unidad por unidad, cuatro recursos didácticos: un resumen ejecutivo, un glosario de términos específicos, un banco de preguntas de comprensión organizadas por nivel de dificultad, y una actividad práctica de cierre.</w:t>
      </w:r>
    </w:p>
    <w:p w14:paraId="6CDD7084" w14:textId="77777777" w:rsidR="008E39B6" w:rsidRDefault="00000000">
      <w:pPr>
        <w:pStyle w:val="font-claude-response-body"/>
        <w:rPr>
          <w:sz w:val="20"/>
          <w:szCs w:val="20"/>
          <w:lang w:val="es-EC"/>
        </w:rPr>
      </w:pPr>
      <w:r>
        <w:rPr>
          <w:rStyle w:val="animating6ta1u10"/>
          <w:sz w:val="20"/>
          <w:szCs w:val="20"/>
          <w:lang w:val="es-EC"/>
        </w:rPr>
        <w:t>El sistema no se limita a la generación de contenido: incorpora además un mecanismo de evaluación automática que utiliza el mismo modelo de lenguaje como juez de calidad (LLM-as-Judge), contrastando cada recurso generado contra criterios de calidad específicos por tipo de recurso, y un mecanismo de persistencia estructurada en una base de datos NoSQL que permite interrumpir y reanudar el proceso sin pérdida ni duplicación de trabajo, una consideración práctica relevante dado que la generación depende de un servicio externo con límites de uso. Todo este proceso es accesible tanto desde línea de comandos como a través de una interfaz web, ampliando su usabilidad para docentes sin experiencia técnica previa.</w:t>
      </w:r>
    </w:p>
    <w:p w14:paraId="063258C4" w14:textId="77777777" w:rsidR="008E39B6" w:rsidRDefault="00000000">
      <w:pPr>
        <w:pStyle w:val="font-claude-response-body"/>
        <w:rPr>
          <w:sz w:val="20"/>
          <w:szCs w:val="20"/>
          <w:lang w:val="es-EC"/>
        </w:rPr>
      </w:pPr>
      <w:r>
        <w:rPr>
          <w:rStyle w:val="animating6ta1u10"/>
          <w:sz w:val="20"/>
          <w:szCs w:val="20"/>
          <w:lang w:val="es-EC"/>
        </w:rPr>
        <w:t>El resto de este documento se organiza de la siguiente manera: la sección de Marco Teórico revisa los fundamentos conceptuales que sustentan el diseño del sistema; la sección de Arquitectura Implementada describe en detalle sus componentes funcionales; la sección de Diferenciación con Soluciones Existentes contrasta la propuesta con las herramientas genéricas disponibles; la sección de Base de Conocimientos Especializada detalla cómo se estructura la información curricular; y finalmente se presentan las conclusiones del trabajo.</w:t>
      </w:r>
    </w:p>
    <w:p w14:paraId="5483FE64" w14:textId="77777777" w:rsidR="008E39B6" w:rsidRDefault="00000000">
      <w:pPr>
        <w:pStyle w:val="Ttulo1"/>
      </w:pPr>
      <w:r>
        <w:t>MARCO TEÓRICO</w:t>
      </w:r>
    </w:p>
    <w:p w14:paraId="66C31C17" w14:textId="77777777" w:rsidR="008E39B6" w:rsidRDefault="00000000">
      <w:pPr>
        <w:pStyle w:val="font-claude-response-body"/>
        <w:rPr>
          <w:sz w:val="20"/>
          <w:szCs w:val="20"/>
          <w:lang w:val="es-EC"/>
        </w:rPr>
      </w:pPr>
      <w:r>
        <w:rPr>
          <w:rStyle w:val="animating6ta1u10"/>
          <w:sz w:val="20"/>
          <w:szCs w:val="20"/>
          <w:lang w:val="es-EC"/>
        </w:rPr>
        <w:t>Los agentes de inteligencia artificial se definen como sistemas capaces de percibir su entorno, tomar decisiones autónomas y ejecutar acciones orientadas al cumplimiento de objetivos, sin requerir supervisión constante (Guo et al., 2024). Esta definición ha sido retomada recientemente para describir sistemas que integran modelos de lenguaje de gran escala como componente de razonamiento central, coordinados en arquitecturas multiagente (Ren et al., 2025; Allmendinger et al., 2026). El sistema desarrollado en este trabajo se enmarca en esta última categoría: emplea la API de Google Gemini como motor de generación y evaluación, orquestado por un conjunto de módulos especializados en Python que le proveen el contexto curricular necesario para operar de manera pertinente sobre una asignatura específica.</w:t>
      </w:r>
    </w:p>
    <w:p w14:paraId="66198F6C" w14:textId="77777777" w:rsidR="008E39B6" w:rsidRDefault="00000000">
      <w:pPr>
        <w:pStyle w:val="font-claude-response-body"/>
        <w:rPr>
          <w:sz w:val="20"/>
          <w:szCs w:val="20"/>
          <w:lang w:val="es-EC"/>
        </w:rPr>
      </w:pPr>
      <w:r>
        <w:rPr>
          <w:rStyle w:val="animating6ta1u10"/>
          <w:sz w:val="20"/>
          <w:szCs w:val="20"/>
          <w:lang w:val="es-EC"/>
        </w:rPr>
        <w:t>Como plantean Li et al. (2026), los agentes que integran modelos de lenguaje ofrecen una vía viable para la generación de contenido en dominios específicos, siempre que se les provea un contexto adecuado y mecanismos que limiten su libertad generativa a estructuras predecibles. En el sistema desarrollado, este principio se materializa mediante la técnica de generación estructurada (structured output): cada uno de los cuatro prompts que produce un recurso didáctico especifica al modelo un esquema JSON obligatorio, de modo que la salida generativa, naturalmente variable en un modelo de lenguaje, queda acotada a una estructura de datos verificable y consistente entre ejecuciones, condición necesaria para que el contenido pueda posteriormente ensamblarse de forma automática en un documento Word.</w:t>
      </w:r>
    </w:p>
    <w:p w14:paraId="7D9FFFBE" w14:textId="77777777" w:rsidR="008E39B6" w:rsidRDefault="00000000">
      <w:pPr>
        <w:pStyle w:val="font-claude-response-body"/>
        <w:rPr>
          <w:sz w:val="20"/>
          <w:szCs w:val="20"/>
          <w:lang w:val="es-EC"/>
        </w:rPr>
      </w:pPr>
      <w:r>
        <w:rPr>
          <w:rStyle w:val="animating6ta1u10"/>
          <w:sz w:val="20"/>
          <w:szCs w:val="20"/>
          <w:lang w:val="es-EC"/>
        </w:rPr>
        <w:lastRenderedPageBreak/>
        <w:t>El diseño de los recursos generados se apoya en principios establecidos de diseño instruccional. En particular, el banco de preguntas de comprensión que produce el sistema para cada unidad se organiza siguiendo los niveles cognitivos de la taxonomía de Bloom revisada (Scaria et al., 2024), distribuyendo las preguntas entre niveles de menor exigencia cognitiva, como recordar y comprender, y niveles superiores, como aplicar, analizar y evaluar, en lugar de generar preguntas de dificultad homogénea o arbitraria. De manera similar, la actividad práctica de cierre de cada unidad se diseña siguiendo principios del aprendizaje adulto y el conectivismo (Conceição &amp; Biniecki, 2024) y del aprendizaje mixto (Platonova et al., 2022), procurando conectar el contenido teórico con un contexto de aplicación concreto y realizable en un tiempo acotado.</w:t>
      </w:r>
    </w:p>
    <w:p w14:paraId="7E23103C" w14:textId="77777777" w:rsidR="008E39B6" w:rsidRDefault="00000000">
      <w:pPr>
        <w:pStyle w:val="font-claude-response-body"/>
        <w:rPr>
          <w:sz w:val="20"/>
          <w:szCs w:val="20"/>
          <w:lang w:val="es-EC"/>
        </w:rPr>
      </w:pPr>
      <w:r>
        <w:rPr>
          <w:rStyle w:val="animating6ta1u10"/>
          <w:sz w:val="20"/>
          <w:szCs w:val="20"/>
          <w:lang w:val="es-EC"/>
        </w:rPr>
        <w:t>La capacidad de un sistema autónomo para operar de manera pertinente sobre un dominio específico depende, en gran medida, de contar con una base de conocimiento estructurada que module sus decisiones (Li et al., 2025). En este trabajo, dicha base de conocimiento no consiste en reglas codificadas manualmente, sino en la extracción automatizada del contenido curricular oficial de cada asignatura, objetivos de aprendizaje, contenidos y actividades sugeridas por unidad, directamente desde el Plan Docente y la Guía de Estudio, persistida en una base de datos NoSQL (MongoDB) que actúa como fuente de verdad para todas las etapas posteriores del proceso generativo.</w:t>
      </w:r>
    </w:p>
    <w:p w14:paraId="2232C383" w14:textId="77777777" w:rsidR="008E39B6" w:rsidRDefault="00000000">
      <w:pPr>
        <w:pStyle w:val="font-claude-response-body"/>
        <w:rPr>
          <w:sz w:val="20"/>
          <w:szCs w:val="20"/>
          <w:lang w:val="es-EC"/>
        </w:rPr>
      </w:pPr>
      <w:r>
        <w:rPr>
          <w:rStyle w:val="animating6ta1u10"/>
          <w:sz w:val="20"/>
          <w:szCs w:val="20"/>
          <w:lang w:val="es-EC"/>
        </w:rPr>
        <w:t>La confiabilidad de los sistemas de inteligencia artificial en contextos especializados requiere mecanismos de validación que trasciendan la revisión humana exclusiva, particularmente cuando se busca escalar su uso institucional (Truhn et al., 2026). Siguiendo este principio, el sistema incorpora un módulo evaluador que emplea el mismo modelo de lenguaje como juez de calidad (LLM-as-Judge), contrastando cada recurso generado contra criterios de calidad explícitos y específicos según su tipo, por ejemplo, verificando que un resumen no incorpore información ausente en el material fuente, o que el glosario contenga términos propios de la unidad y no definiciones genéricas, y complementa esta validación automática con un mecanismo de registro del feedback cualitativo del docente titular de la asignatura.</w:t>
      </w:r>
    </w:p>
    <w:p w14:paraId="108339DB" w14:textId="77777777" w:rsidR="008E39B6" w:rsidRDefault="00000000">
      <w:pPr>
        <w:pStyle w:val="font-claude-response-body"/>
        <w:rPr>
          <w:sz w:val="20"/>
          <w:szCs w:val="20"/>
          <w:lang w:val="es-EC"/>
        </w:rPr>
      </w:pPr>
      <w:r>
        <w:rPr>
          <w:rStyle w:val="animating6ta1u10"/>
          <w:sz w:val="20"/>
          <w:szCs w:val="20"/>
          <w:lang w:val="es-EC"/>
        </w:rPr>
        <w:t>Finalmente, cabe destacar que este desarrollo se enmarca en el contexto institucional de la Universidad Técnica Particular de Loja (UTPL), donde la automatización de procesos administrativos y educativos mediante inteligencia artificial constituye un área de interés creciente (Dwiedi et al., 2026). El sistema fue diseñado y validado utilizando documentación curricular real de asignaturas de la carrera de Computación de la UTPL, lo que permitió confirmar que su arquitectura de detección automática de metadatos y de estructura por unidades se adapta a más de una plantilla institucional de Plan Docente, sin requerir configuración manual por parte del usuario.</w:t>
      </w:r>
    </w:p>
    <w:p w14:paraId="154F420E" w14:textId="77777777" w:rsidR="008E39B6" w:rsidRDefault="00000000">
      <w:pPr>
        <w:pStyle w:val="Ttulo1"/>
      </w:pPr>
      <w:r>
        <w:t>Arquitectura Implementada del Sistema</w:t>
      </w:r>
    </w:p>
    <w:p w14:paraId="1CA5CF1B" w14:textId="77777777" w:rsidR="008E39B6" w:rsidRDefault="00000000">
      <w:r>
        <w:t xml:space="preserve">Se ha implementado una arquitectura modular que representa una adaptación de patrones reconocidos en sistemas multiagente, pero especializada para el dominio de generación de contenidos educativos. El sistema se compone de varios módulos funcionales que operan de manera integrada para </w:t>
      </w:r>
      <w:r>
        <w:t>garantizar coherencia pedagógica en toda la cadena de generación. Esta aproximación multimodular refleja los fundamentos conceptuales descritos por Ren et al. (2025) respecto a cómo los sistemas autónomos pueden integrar múltiples dimensiones de razonamiento.</w:t>
      </w:r>
    </w:p>
    <w:p w14:paraId="2007053E" w14:textId="77777777" w:rsidR="008E39B6" w:rsidRDefault="00000000">
      <w:r>
        <w:t>Módulo de Comprensión de Requisitos:</w:t>
      </w:r>
    </w:p>
    <w:p w14:paraId="4860EB79" w14:textId="77777777" w:rsidR="008E39B6" w:rsidRDefault="00000000">
      <w:r>
        <w:t>El módulo de comprensión de requisitos procesa los parámetros que proporciona el usuario, incluyendo datos sobre la audiencia objetivo, los objetivos de aprendizaje que se pretenden lograr, la duración estimada del material, el nivel de profundidad requerido, y el contexto institucional en el que se utilizará el documento. Este módulo realiza un análisis semántico que permite identificar implicaciones pedagógicas de estos parámetros, operacionalizando lo que Allmendinger et al. (2026) describen como la capacidad de los agentes de IA para procesar información compleja y multidimensional. Su implementación incluye:</w:t>
      </w:r>
    </w:p>
    <w:p w14:paraId="49365387" w14:textId="77777777" w:rsidR="008E39B6" w:rsidRDefault="008E39B6"/>
    <w:p w14:paraId="442F4253" w14:textId="77777777" w:rsidR="008E39B6" w:rsidRDefault="00000000">
      <w:r>
        <w:t>Procesamiento de entrada multiparamétrica que integra especificaciones didácticas, demográficas y técnicas</w:t>
      </w:r>
    </w:p>
    <w:p w14:paraId="641053A6" w14:textId="77777777" w:rsidR="008E39B6" w:rsidRDefault="00000000">
      <w:r>
        <w:t>Validación de coherencia entre objetivos de aprendizaje y duración del contenido propuesto</w:t>
      </w:r>
    </w:p>
    <w:p w14:paraId="6165FDEA" w14:textId="77777777" w:rsidR="008E39B6" w:rsidRDefault="00000000">
      <w:r>
        <w:t>Mapeo de requisitos a componentes pedagógicos específicos dentro de la base de conocimientos</w:t>
      </w:r>
    </w:p>
    <w:p w14:paraId="20CAE874" w14:textId="77777777" w:rsidR="008E39B6" w:rsidRDefault="00000000">
      <w:r>
        <w:t>Identificación de restricciones y preferencias para guiar las decisiones posteriores del sistema</w:t>
      </w:r>
    </w:p>
    <w:p w14:paraId="234479F1" w14:textId="77777777" w:rsidR="008E39B6" w:rsidRDefault="008E39B6"/>
    <w:p w14:paraId="1506D730" w14:textId="77777777" w:rsidR="008E39B6" w:rsidRDefault="00000000">
      <w:r>
        <w:t>Módulo de Generación de Documentos:</w:t>
      </w:r>
    </w:p>
    <w:p w14:paraId="427A0E99" w14:textId="77777777" w:rsidR="008E39B6" w:rsidRDefault="00000000">
      <w:r>
        <w:t>El módulo de generación de documentos constituye el núcleo generativo del sistema y aprovecha capacidades de modelos de lenguaje de gran escala para crear contenido que no es simplemente fluido lingüísticamente, sino que responde a estructuras pedagógicas intencionalmente diseñadas. Como plantean Li et al. (2026), los agentes de IA que integran modelos de lenguaje ofrecen una vía viable para aplicaciones que requieren generación de contenido especializado en contextos específicos del dominio. Este componente integra plantillas de estructura didáctica, patrones de progresión conceptual y mecanismos para asegurar que el contenido esté organizado de manera que facilite el aprendizaje progresivo. Su desarrollo incluyó:</w:t>
      </w:r>
    </w:p>
    <w:p w14:paraId="5F8EEC55" w14:textId="77777777" w:rsidR="008E39B6" w:rsidRDefault="008E39B6"/>
    <w:p w14:paraId="090D502D" w14:textId="77777777" w:rsidR="008E39B6" w:rsidRDefault="00000000">
      <w:r>
        <w:t>Integración con arquitecturas de agentes que permiten toma de decisiones autónoma sobre segmentación temática</w:t>
      </w:r>
    </w:p>
    <w:p w14:paraId="5EC972E9" w14:textId="77777777" w:rsidR="008E39B6" w:rsidRDefault="00000000">
      <w:r>
        <w:t>Implementación de plantillas de estructura que garantizan progresión desde conceptos fundamentales hacia aplicaciones complejas</w:t>
      </w:r>
    </w:p>
    <w:p w14:paraId="714A470F" w14:textId="77777777" w:rsidR="008E39B6" w:rsidRDefault="00000000">
      <w:r>
        <w:t>Incorporación de mecanismos de coherencia que aseguran que cada sección conecta lógicamente con la anterior</w:t>
      </w:r>
    </w:p>
    <w:p w14:paraId="4994F24D" w14:textId="77777777" w:rsidR="008E39B6" w:rsidRDefault="00000000">
      <w:r>
        <w:t>Generación de contenido que respeta límites de complejidad según el nivel educativo especificado</w:t>
      </w:r>
    </w:p>
    <w:p w14:paraId="72204485" w14:textId="77777777" w:rsidR="008E39B6" w:rsidRDefault="008E39B6"/>
    <w:p w14:paraId="5AF18645" w14:textId="77777777" w:rsidR="008E39B6" w:rsidRDefault="00000000">
      <w:r>
        <w:t>Módulo de Personalización:</w:t>
      </w:r>
    </w:p>
    <w:p w14:paraId="7EB8EAE4" w14:textId="77777777" w:rsidR="008E39B6" w:rsidRDefault="00000000">
      <w:r>
        <w:t>El módulo de personalización opera de manera transversal, garantizando que cada aspecto del documento generado refleje no solo el contenido temático requerido, sino también características específicas del contexto educativo en el que se aplicará. Esta capacidad de adaptación refleja lo que Ren et al. (2025) identifican como una característica fundamental de los agentes de IA: su flexibilidad y adaptabilidad ante imprevistos. Sus características operacionales incluyen:</w:t>
      </w:r>
    </w:p>
    <w:p w14:paraId="17182744" w14:textId="77777777" w:rsidR="008E39B6" w:rsidRDefault="008E39B6"/>
    <w:p w14:paraId="14A707B0" w14:textId="77777777" w:rsidR="008E39B6" w:rsidRDefault="00000000">
      <w:r>
        <w:t>Adaptación dinámica de lenguaje según nivel educativo (primaria, secundaria, superior, especializado)</w:t>
      </w:r>
    </w:p>
    <w:p w14:paraId="66DEB650" w14:textId="77777777" w:rsidR="008E39B6" w:rsidRDefault="00000000">
      <w:r>
        <w:t>Ajuste de ejemplos y contextos de aplicación según el área disciplinar y audiencia específica</w:t>
      </w:r>
    </w:p>
    <w:p w14:paraId="090510EE" w14:textId="77777777" w:rsidR="008E39B6" w:rsidRDefault="00000000">
      <w:r>
        <w:t>Personalización de énfasis temático basado en relevancia para el contexto institucional</w:t>
      </w:r>
    </w:p>
    <w:p w14:paraId="22672339" w14:textId="77777777" w:rsidR="008E39B6" w:rsidRDefault="00000000">
      <w:r>
        <w:t>Modificación de extensión y profundidad de explicaciones según tiempo disponible del estudiante</w:t>
      </w:r>
    </w:p>
    <w:p w14:paraId="69BF145A" w14:textId="77777777" w:rsidR="008E39B6" w:rsidRDefault="008E39B6"/>
    <w:p w14:paraId="627CA7F2" w14:textId="77777777" w:rsidR="008E39B6" w:rsidRDefault="00000000">
      <w:r>
        <w:t>Módulo de Validación:</w:t>
      </w:r>
    </w:p>
    <w:p w14:paraId="6343D44A" w14:textId="77777777" w:rsidR="008E39B6" w:rsidRDefault="00000000">
      <w:r>
        <w:t>Finalmente, el módulo de validación implementa revisiones tanto de coherencia como de pertinencia pedagógica, asegurando que el contenido no contiene inconsistencias conceptuales y que mantiene alineación con los objetivos educativos originales. Este mecanismo de control de calidad es particularmente relevante dado que, como señalan Truhn et al. (2026), la confiabilidad de los sistemas de IA en contextos especializados requiere validación rigurosa respecto a las limitaciones y marcos éticos o regulatorios asociados. Este módulo funciona como un mecanismo de control de calidad implementado mediante:</w:t>
      </w:r>
    </w:p>
    <w:p w14:paraId="3C3411DF" w14:textId="77777777" w:rsidR="008E39B6" w:rsidRDefault="008E39B6"/>
    <w:p w14:paraId="349E5C92" w14:textId="77777777" w:rsidR="008E39B6" w:rsidRDefault="00000000">
      <w:r>
        <w:t>Verificación de coherencia conceptual entre secciones para detectar contradicciones o saltos lógicos</w:t>
      </w:r>
    </w:p>
    <w:p w14:paraId="3A522E99" w14:textId="77777777" w:rsidR="008E39B6" w:rsidRDefault="00000000">
      <w:r>
        <w:t>Validación de correspondencia entre objetivos de aprendizaje declarados y contenido generado</w:t>
      </w:r>
    </w:p>
    <w:p w14:paraId="7DD26A16" w14:textId="77777777" w:rsidR="008E39B6" w:rsidRDefault="00000000">
      <w:r>
        <w:t>Análisis de nivel de lenguaje para asegurar adecuación con audiencia objetivo</w:t>
      </w:r>
    </w:p>
    <w:p w14:paraId="0C3CCB47" w14:textId="77777777" w:rsidR="008E39B6" w:rsidRDefault="00000000">
      <w:r>
        <w:t>Detección de desviaciones del hilo argumental central y sugerencias de reorientación</w:t>
      </w:r>
    </w:p>
    <w:p w14:paraId="2F3EDC33" w14:textId="77777777" w:rsidR="00FE6A70" w:rsidRDefault="00FE6A70"/>
    <w:p w14:paraId="4E13B960" w14:textId="625F92A7" w:rsidR="00FE6A70" w:rsidRDefault="00FE6A70">
      <w:r>
        <w:fldChar w:fldCharType="begin"/>
      </w:r>
      <w:r>
        <w:instrText xml:space="preserve"> INCLUDEPICTURE "D:\\Universidad\\Practicum\\1.2\\arquitectura_contexto-C4 - 1. Contexto.drawio (1).png" \* MERGEFORMATINET </w:instrText>
      </w:r>
      <w:r>
        <w:fldChar w:fldCharType="separate"/>
      </w:r>
      <w:r>
        <w:pict w14:anchorId="65BB6D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9pt;height:177.75pt">
            <v:imagedata r:id="rId7" r:href="rId8"/>
          </v:shape>
        </w:pict>
      </w:r>
      <w:r>
        <w:fldChar w:fldCharType="end"/>
      </w:r>
    </w:p>
    <w:p w14:paraId="134F0AE2" w14:textId="77777777" w:rsidR="008E39B6" w:rsidRDefault="00000000">
      <w:pPr>
        <w:pStyle w:val="Ttulo1"/>
      </w:pPr>
      <w:r>
        <w:t>Persistencia y Manejo de Límites de la API</w:t>
      </w:r>
    </w:p>
    <w:p w14:paraId="5A613A65" w14:textId="77777777" w:rsidR="008E39B6" w:rsidRDefault="00000000">
      <w:pPr>
        <w:pStyle w:val="font-claude-response-body"/>
        <w:rPr>
          <w:sz w:val="20"/>
          <w:szCs w:val="20"/>
          <w:lang w:val="es-EC"/>
        </w:rPr>
      </w:pPr>
      <w:r>
        <w:rPr>
          <w:rStyle w:val="animating6ta1u10"/>
          <w:sz w:val="20"/>
          <w:szCs w:val="20"/>
          <w:lang w:val="es-EC"/>
        </w:rPr>
        <w:t xml:space="preserve">El sistema emplea MongoDB Atlas como mecanismo de persistencia central, organizado en cinco colecciones especializadas. La colección asignaturas almacena la base de conocimiento curricular de cada materia (código, carrera, ciclo y el contenido estructurado de sus unidades); la colección recursos guarda el resultado JSON de cada uno de los cuatro generadores, indexado por código de asignatura, número de unidad y tipo de recurso; la colección evaluaciones contiene los reportes producidos por el módulo evaluador; la colección prompts_usados registra cada llamada realizada al modelo de lenguaje, exitosa o fallida, junto con el prompt exacto enviado; </w:t>
      </w:r>
      <w:r>
        <w:rPr>
          <w:rStyle w:val="animating6ta1u10"/>
          <w:sz w:val="20"/>
          <w:szCs w:val="20"/>
          <w:lang w:val="es-EC"/>
        </w:rPr>
        <w:t>y la colección feedback_docente conserva las observaciones cualitativas registradas por el docente titular de la asignatura. Todas las operaciones de escritura utilizan la semántica de actualización condicional (upsert), lo que permite interrumpir la ejecución del pipeline en cualquier punto y reanudarla posteriormente sin generar registros duplicados ni perder el trabajo ya completado.</w:t>
      </w:r>
    </w:p>
    <w:p w14:paraId="5F0A1AAB" w14:textId="77777777" w:rsidR="008E39B6" w:rsidRDefault="00000000">
      <w:pPr>
        <w:pStyle w:val="font-claude-response-body"/>
        <w:rPr>
          <w:sz w:val="20"/>
          <w:szCs w:val="20"/>
          <w:lang w:val="es-EC"/>
        </w:rPr>
      </w:pPr>
      <w:r>
        <w:rPr>
          <w:rStyle w:val="animating6ta1u10"/>
          <w:sz w:val="20"/>
          <w:szCs w:val="20"/>
          <w:lang w:val="es-EC"/>
        </w:rPr>
        <w:t>La generación de contenido se realiza mediante la API de Google Gemini, específicamente a través del modelo gemini-flash-latest y el SDK oficial google-genai. Cada uno de los cuatro generadores de recursos (resumen, glosario, banco de preguntas y actividad práctica) invoca al modelo especificando un esquema de salida JSON obligatorio (response_schema), lo que fuerza al modelo a devolver una estructura de datos predecible en lugar de texto libre, condición indispensable para que el módulo exportador pueda ensamblar automáticamente el documento final sin intervención manual.</w:t>
      </w:r>
    </w:p>
    <w:p w14:paraId="21ADF421" w14:textId="77777777" w:rsidR="008E39B6" w:rsidRDefault="00000000">
      <w:pPr>
        <w:pStyle w:val="font-claude-response-body"/>
        <w:rPr>
          <w:sz w:val="20"/>
          <w:szCs w:val="20"/>
          <w:lang w:val="es-EC"/>
        </w:rPr>
      </w:pPr>
      <w:r>
        <w:rPr>
          <w:rStyle w:val="animating6ta1u10"/>
          <w:sz w:val="20"/>
          <w:szCs w:val="20"/>
          <w:lang w:val="es-EC"/>
        </w:rPr>
        <w:t>El uso de un servicio externo de pago por consumo introduce, sin embargo, una restricción práctica relevante: la capa gratuita de la API de Gemini impone límites tanto de solicitudes por minuto como de solicitudes diarias, cuyo agotamiento se manifiesta como un error HTTP 429 (Resource Exhausted). Durante el desarrollo y las pruebas del sistema con documentación curricular real, este límite se alcanzó en más de una ocasión al procesar asignaturas completas de varias unidades, lo que evidenció la necesidad de un mecanismo de resiliencia explícito en lugar de asumir disponibilidad continua del servicio.</w:t>
      </w:r>
    </w:p>
    <w:p w14:paraId="297B5FF2" w14:textId="77777777" w:rsidR="008E39B6" w:rsidRDefault="00000000">
      <w:pPr>
        <w:pStyle w:val="font-claude-response-body"/>
        <w:rPr>
          <w:sz w:val="20"/>
          <w:szCs w:val="20"/>
          <w:lang w:val="es-EC"/>
        </w:rPr>
      </w:pPr>
      <w:r>
        <w:rPr>
          <w:rStyle w:val="animating6ta1u10"/>
          <w:sz w:val="20"/>
          <w:szCs w:val="20"/>
          <w:lang w:val="es-EC"/>
        </w:rPr>
        <w:t>Para abordar esta limitación, el sistema implementa una política de reintentos con espera progresiva: ante una respuesta 429 o 503 (servicio saturado), el proceso espera un intervalo creciente (15, 30 y 45 segundos, sucesivamente) antes de reintentar la misma solicitud, hasta un máximo de cinco intentos. Si la cuota gratuita se ha agotado por completo, el sistema no continúa reintentando indefinidamente ni finaliza de manera abrupta: levanta una excepción controlada (CuotaAgotadaError) con un mensaje explicativo, y gracias al mecanismo de persistencia por upsert descrito anteriormente, el proceso puede retomarse más tarde exactamente donde se interrumpió, sin necesidad de regenerar los recursos que ya se habían completado exitosamente. Adicionalmente, cada intento de generación, exitoso o fallido, queda registrado en la colección prompts_usados, lo que constituye un registro auditable del comportamiento del sistema frente a las restricciones del proveedor externo.</w:t>
      </w:r>
    </w:p>
    <w:p w14:paraId="7D1C851A" w14:textId="77777777" w:rsidR="008E39B6" w:rsidRDefault="00000000">
      <w:pPr>
        <w:pStyle w:val="Ttulo1"/>
      </w:pPr>
      <w:r>
        <w:t>4. Diferenciación con Soluciones Existentes</w:t>
      </w:r>
    </w:p>
    <w:p w14:paraId="4A2B2D82" w14:textId="77777777" w:rsidR="008E39B6" w:rsidRDefault="00000000">
      <w:pPr>
        <w:pStyle w:val="font-claude-response-body"/>
        <w:rPr>
          <w:sz w:val="20"/>
          <w:szCs w:val="20"/>
          <w:lang w:val="es-EC"/>
        </w:rPr>
      </w:pPr>
      <w:r>
        <w:rPr>
          <w:sz w:val="20"/>
          <w:szCs w:val="20"/>
          <w:lang w:val="es-EC"/>
        </w:rPr>
        <w:t xml:space="preserve">La propuesta implementada se diferencia significativamente de las herramientas genéricas disponibles en el mercado en varios aspectos fundamentales. Mientras que soluciones como ChatGPT, Gemini o Claude están diseñadas como sistemas de propósito general que pueden responder a una variedad casi ilimitada de consultas, la herramienta desarrollada ha sido especializada deliberadamente para resolver un problema específico: la generación de documentos con estructura pedagógica coherente y adaptada a contextos educativos concretos (Area-Moreira et al., 2024). Esta especialización permite que el sistema mantenga una lógica interna consistente </w:t>
      </w:r>
      <w:r>
        <w:rPr>
          <w:sz w:val="20"/>
          <w:szCs w:val="20"/>
          <w:lang w:val="es-EC"/>
        </w:rPr>
        <w:lastRenderedPageBreak/>
        <w:t>con principios educativos, algo que los sistemas genéricos no pueden garantizar de manera sistemática.</w:t>
      </w:r>
    </w:p>
    <w:p w14:paraId="757D9FD4" w14:textId="77777777" w:rsidR="008E39B6" w:rsidRDefault="00000000">
      <w:pPr>
        <w:pStyle w:val="font-claude-response-body"/>
        <w:rPr>
          <w:sz w:val="20"/>
          <w:szCs w:val="20"/>
          <w:lang w:val="es-EC"/>
        </w:rPr>
      </w:pPr>
      <w:r>
        <w:rPr>
          <w:sz w:val="20"/>
          <w:szCs w:val="20"/>
          <w:lang w:val="es-EC"/>
        </w:rPr>
        <w:t>Como documentan Dwiedi et al. (2026) en su análisis de agentes de IA en contextos educativos y administrativos, persisten desafíos significativos en la implementación de estas tecnologías, incluyendo inquietudes entre empresas, clientes y organismos reguladores respecto a la fiabilidad y pertinencia de los sistemas. La herramienta desarrollada aborda estas preocupaciones mediante el diseño especializado que garantiza trazabilidad en las decisiones pedagógicas del sistema. Además, mientras que las herramientas comerciales existentes operan bajo modelos de negocio que limitan el acceso a sus versiones más poderosas mediante restricciones económicas, la herramienta desarrollada ha sido concebida como una solución que puede ser implementada y adaptada por instituciones educativas según sus necesidades específicas, sin depender de suscripciones o límites de acceso artificialmente impuestos.</w:t>
      </w:r>
    </w:p>
    <w:p w14:paraId="6F696C6B" w14:textId="77777777" w:rsidR="008E39B6" w:rsidRDefault="008E39B6"/>
    <w:p w14:paraId="3A712DFF" w14:textId="77777777" w:rsidR="008E39B6" w:rsidRDefault="00000000">
      <w:pPr>
        <w:pStyle w:val="Ttulo1"/>
      </w:pPr>
      <w:r>
        <w:t>Base de Conocimientos Especializada</w:t>
      </w:r>
    </w:p>
    <w:p w14:paraId="22FE637C" w14:textId="77777777" w:rsidR="008E39B6" w:rsidRDefault="00000000">
      <w:pPr>
        <w:pStyle w:val="font-claude-response-body"/>
        <w:rPr>
          <w:sz w:val="20"/>
          <w:szCs w:val="20"/>
          <w:lang w:val="es-EC"/>
        </w:rPr>
      </w:pPr>
      <w:r>
        <w:rPr>
          <w:sz w:val="20"/>
          <w:szCs w:val="20"/>
          <w:lang w:val="es-EC"/>
        </w:rPr>
        <w:t>Se ha construido una base de conocimientos estructurada que representa el fundamento sobre el cual el sistema toma decisiones de generación de contenido. Esta base incorpora lo que Ren et al. (2025) identifican como componentes esenciales de sistemas autónomos: modelos funcionales que permiten procesar información no estructurada y responder de manera flexible a contextos complejos. La base de conocimientos especializada incluye varios componentes integrados:</w:t>
      </w:r>
    </w:p>
    <w:p w14:paraId="143B4957" w14:textId="77777777" w:rsidR="008E39B6" w:rsidRDefault="00000000">
      <w:pPr>
        <w:pStyle w:val="font-claude-response-body"/>
        <w:rPr>
          <w:sz w:val="20"/>
          <w:szCs w:val="20"/>
          <w:lang w:val="es-EC"/>
        </w:rPr>
      </w:pPr>
      <w:r>
        <w:rPr>
          <w:sz w:val="20"/>
          <w:szCs w:val="20"/>
          <w:lang w:val="es-EC"/>
        </w:rPr>
        <w:t>Esta base incluye, en primer lugar, perfiles pedagógicamente relevantes de diferentes audiencias educativas, categorizadas no solo por nivel formal de educación sino por características cognitivas, necesidades de aprendizaje específicas y contextos de aplicación. En segundo lugar, integra plantillas y patrones de estructura didáctica que han sido validados en literatura educativa, incluyendo progresiones lógicas para la introducción de conceptos, técnicas para mantener la motivación del estudiante a lo largo del contenido, y estrategias para la evaluación implícita del aprendizaje. Como señalan Fernández-Miguel et al. (2025) en su trabajo sobre sistemas autónomos multiagente, los patrones de estructura y coordinación entre componentes son fundamentales para lograr precisión en contextos especializados.</w:t>
      </w:r>
    </w:p>
    <w:p w14:paraId="41795869" w14:textId="77777777" w:rsidR="008E39B6" w:rsidRDefault="00000000">
      <w:pPr>
        <w:pStyle w:val="font-claude-response-body"/>
        <w:rPr>
          <w:sz w:val="20"/>
          <w:szCs w:val="20"/>
          <w:lang w:val="es-EC"/>
        </w:rPr>
      </w:pPr>
      <w:r>
        <w:rPr>
          <w:sz w:val="20"/>
          <w:szCs w:val="20"/>
          <w:lang w:val="es-EC"/>
        </w:rPr>
        <w:t>La base de conocimientos también incorpora representaciones formales de competencias y objetivos de aprendizaje, permitiendo que el sistema pueda no solo generar contenido que trate sobre un tema, sino que deliberadamente articule ese contenido para el logro de objetivos educativos específicos. Finalmente, incluye estándares de estructura y formato que reflejan buenas prácticas en diseño de materiales educativos digitales, considerando aspectos como la longitud óptima de párrafos, la frecuencia de cambios de subtemas, la inclusión de elementos visuales o la estructura de evaluaciones formativas. Este conjunto de conocimiento especializado es lo que permite que el sistema genere documentos que son, simultáneamente, contenido de calidad académica y materiales pedagógicamente efectivos.</w:t>
      </w:r>
    </w:p>
    <w:p w14:paraId="67418AC2" w14:textId="77777777" w:rsidR="008E39B6" w:rsidRDefault="008E39B6"/>
    <w:p w14:paraId="587533C7" w14:textId="77777777" w:rsidR="008E39B6" w:rsidRDefault="00000000">
      <w:pPr>
        <w:pStyle w:val="Ttulo1"/>
      </w:pPr>
      <w:r>
        <w:t>Conclusión</w:t>
      </w:r>
    </w:p>
    <w:p w14:paraId="23504A70" w14:textId="77777777" w:rsidR="008E39B6" w:rsidRDefault="00000000">
      <w:pPr>
        <w:pStyle w:val="font-claude-response-body"/>
        <w:rPr>
          <w:sz w:val="20"/>
          <w:szCs w:val="20"/>
          <w:lang w:val="es-EC"/>
        </w:rPr>
      </w:pPr>
      <w:r>
        <w:rPr>
          <w:sz w:val="20"/>
          <w:szCs w:val="20"/>
          <w:lang w:val="es-EC"/>
        </w:rPr>
        <w:t>La herramienta ha sido diseñada considerando explícitamente los desafíos y oportunidades que enfrenta la educación superior contemporánea, particularmente en contextos institucionales como la UTPL donde hay interés en fortalecer la automatización de procesos administrativos y educativos. Como documentan Area-Moreira et al. (2024), no todas las herramientas de IA son igualmente accesibles ni apropiadas para contextos educativos, lo que hace necesario desarrollar soluciones especializadas que consideren las limitaciones de acceso a herramientas más avanzadas.</w:t>
      </w:r>
    </w:p>
    <w:p w14:paraId="5A4468CD" w14:textId="77777777" w:rsidR="008E39B6" w:rsidRDefault="00000000">
      <w:pPr>
        <w:pStyle w:val="font-claude-response-body"/>
        <w:rPr>
          <w:sz w:val="20"/>
          <w:szCs w:val="20"/>
          <w:lang w:val="es-EC"/>
        </w:rPr>
      </w:pPr>
      <w:r>
        <w:rPr>
          <w:sz w:val="20"/>
          <w:szCs w:val="20"/>
          <w:lang w:val="es-EC"/>
        </w:rPr>
        <w:t>En estos contextos, los docentes enfrentan la necesidad de generar materiales didácticos de calidad bajo presiones de tiempo significativas, sin contar necesariamente con acceso a especialistas en diseño instruccional o recursos económicos para desarrollar contenidos personalizados mediante métodos tradicionales. La herramienta aborda directamente esta problemática, permitiendo que un docente pueda especificar sus requisitos educativos y obtener, en corto tiempo, un documento que integra tanto contenido disciplinar como estructuración pedagógica. Dwiedi et al. (2026) subrayan que en contextos de educación, los agentes de IA tienen potencial significativo para mejorar servicios estudiantiles y administrativos cuando se diseñan considerando necesidades institucionales específicas.</w:t>
      </w:r>
    </w:p>
    <w:p w14:paraId="0D757092" w14:textId="77777777" w:rsidR="008E39B6" w:rsidRDefault="00000000">
      <w:pPr>
        <w:pStyle w:val="font-claude-response-body"/>
        <w:rPr>
          <w:sz w:val="20"/>
          <w:szCs w:val="20"/>
          <w:lang w:val="es-EC"/>
        </w:rPr>
      </w:pPr>
      <w:r>
        <w:rPr>
          <w:sz w:val="20"/>
          <w:szCs w:val="20"/>
          <w:lang w:val="es-EC"/>
        </w:rPr>
        <w:t>Además, la herramienta operacionaliza un principio importante en instituciones educativas contemporáneas: la necesidad de mantener coherencia con modelos educativos institucionales. Mientras que un docente generando contenido manualmente puede divergir inconscientemente del enfoque pedagógico institucional, un sistema especializado puede ser configurado para garantizar que todos los materiales generados mantengan alineación con principios educativos comunes a toda la institución. Esto contribuye a una experiencia educativa más coherente para los estudiantes y facilita la articulación entre diferentes cursos y disciplinas.</w:t>
      </w:r>
    </w:p>
    <w:p w14:paraId="6D6C3A52" w14:textId="77777777" w:rsidR="008E39B6" w:rsidRDefault="00000000">
      <w:pPr>
        <w:pStyle w:val="Ttulo1"/>
        <w:numPr>
          <w:ilvl w:val="0"/>
          <w:numId w:val="9"/>
        </w:numPr>
      </w:pPr>
      <w:r>
        <w:t>Referencias</w:t>
      </w:r>
    </w:p>
    <w:p w14:paraId="6C065F36" w14:textId="77777777" w:rsidR="008E39B6" w:rsidRDefault="00000000">
      <w:pPr>
        <w:pStyle w:val="font-claude-response-body"/>
        <w:rPr>
          <w:sz w:val="22"/>
          <w:szCs w:val="22"/>
        </w:rPr>
      </w:pPr>
      <w:r>
        <w:rPr>
          <w:sz w:val="22"/>
          <w:szCs w:val="22"/>
          <w:lang w:val="es-EC"/>
        </w:rPr>
        <w:t xml:space="preserve">Area-Moreira, M., Del Prete, A., Sanabria-Mesa, A. L., &amp; Sannicolás-Santos, B. (2024). No todas las herramientas de IA son iguales. Análisis de aplicaciones inteligentes para la enseñanza universitaria. </w:t>
      </w:r>
      <w:r>
        <w:rPr>
          <w:rStyle w:val="nfasis"/>
          <w:sz w:val="22"/>
          <w:szCs w:val="22"/>
        </w:rPr>
        <w:t>Digital Education Review</w:t>
      </w:r>
      <w:r>
        <w:rPr>
          <w:sz w:val="22"/>
          <w:szCs w:val="22"/>
        </w:rPr>
        <w:t xml:space="preserve">, 45, 141-149. </w:t>
      </w:r>
      <w:hyperlink r:id="rId9">
        <w:r>
          <w:rPr>
            <w:rStyle w:val="Hipervnculo"/>
            <w:sz w:val="22"/>
            <w:szCs w:val="22"/>
          </w:rPr>
          <w:t>https://doi.org/10.1344/der.2024.45.141-149</w:t>
        </w:r>
      </w:hyperlink>
    </w:p>
    <w:p w14:paraId="4B7F8B89" w14:textId="77777777" w:rsidR="008E39B6" w:rsidRPr="00FE6A70" w:rsidRDefault="00000000">
      <w:pPr>
        <w:pStyle w:val="font-claude-response-body"/>
        <w:rPr>
          <w:sz w:val="22"/>
          <w:szCs w:val="22"/>
          <w:lang w:eastAsia="es-EC"/>
        </w:rPr>
      </w:pPr>
      <w:r>
        <w:rPr>
          <w:sz w:val="22"/>
          <w:szCs w:val="22"/>
        </w:rPr>
        <w:t xml:space="preserve">Conceição, S. C. O., &amp; Biniecki, S. Y. (2024). Technology and adult learning. </w:t>
      </w:r>
      <w:r>
        <w:rPr>
          <w:rStyle w:val="nfasis"/>
          <w:sz w:val="22"/>
          <w:szCs w:val="22"/>
        </w:rPr>
        <w:t>New Directions for Adult and Continuing Education</w:t>
      </w:r>
      <w:r>
        <w:rPr>
          <w:sz w:val="22"/>
          <w:szCs w:val="22"/>
        </w:rPr>
        <w:t>, 2024(184), 65–73. https://doi.org/10.1002/ace.20545</w:t>
      </w:r>
    </w:p>
    <w:p w14:paraId="7718D66A" w14:textId="77777777" w:rsidR="008E39B6" w:rsidRPr="00FE6A70" w:rsidRDefault="00000000">
      <w:pPr>
        <w:pStyle w:val="font-claude-response-body"/>
        <w:rPr>
          <w:sz w:val="22"/>
          <w:szCs w:val="22"/>
          <w:lang w:eastAsia="es-EC"/>
        </w:rPr>
      </w:pPr>
      <w:r>
        <w:rPr>
          <w:sz w:val="22"/>
          <w:szCs w:val="22"/>
        </w:rPr>
        <w:t>Guo, T., Chen, X., Wang, Y., Chang, R., Pei, S., Chawla, N. V., Wiest, O., &amp; Zhang, X. (2024). Large language model based multi-agents: A survey of progress and challenges. En Proceedings of the 33rd International Joint Conference on Artificial Intelligence (IJCAI 2024) (pp. 8048–8057). https://doi.org/10.24963/ijcai.2024/890</w:t>
      </w:r>
    </w:p>
    <w:p w14:paraId="0EE6A3EF" w14:textId="77777777" w:rsidR="008E39B6" w:rsidRPr="00FE6A70" w:rsidRDefault="00000000">
      <w:pPr>
        <w:pStyle w:val="font-claude-response-body"/>
        <w:rPr>
          <w:sz w:val="22"/>
          <w:szCs w:val="22"/>
          <w:lang w:eastAsia="es-EC"/>
        </w:rPr>
      </w:pPr>
      <w:r>
        <w:rPr>
          <w:sz w:val="22"/>
          <w:szCs w:val="22"/>
        </w:rPr>
        <w:t xml:space="preserve">Kumar, P. (2024). Large language models (LLMs): Survey, technical frameworks, and future challenges. </w:t>
      </w:r>
      <w:r>
        <w:rPr>
          <w:rStyle w:val="nfasis"/>
          <w:sz w:val="22"/>
          <w:szCs w:val="22"/>
        </w:rPr>
        <w:lastRenderedPageBreak/>
        <w:t>Artificial Intelligence Review</w:t>
      </w:r>
      <w:r>
        <w:rPr>
          <w:sz w:val="22"/>
          <w:szCs w:val="22"/>
        </w:rPr>
        <w:t>, 57(10), 260. https://doi.org/10.1007/s10462-024-10888-y</w:t>
      </w:r>
    </w:p>
    <w:p w14:paraId="412BD261" w14:textId="77777777" w:rsidR="008E39B6" w:rsidRPr="00FE6A70" w:rsidRDefault="00000000">
      <w:pPr>
        <w:pStyle w:val="font-claude-response-body"/>
        <w:rPr>
          <w:sz w:val="22"/>
          <w:szCs w:val="22"/>
          <w:lang w:eastAsia="es-EC"/>
        </w:rPr>
      </w:pPr>
      <w:r>
        <w:rPr>
          <w:sz w:val="22"/>
          <w:szCs w:val="22"/>
        </w:rPr>
        <w:t xml:space="preserve">Li, Z., Wang, Z., Wang, W., Hung, K., Xie, H., &amp; Wang, F. L. (2025). Retrieval-augmented generation for educational application: A systematic survey. </w:t>
      </w:r>
      <w:r>
        <w:rPr>
          <w:rStyle w:val="nfasis"/>
          <w:sz w:val="22"/>
          <w:szCs w:val="22"/>
        </w:rPr>
        <w:t>Computers and Education: Artificial Intelligence</w:t>
      </w:r>
      <w:r>
        <w:rPr>
          <w:sz w:val="22"/>
          <w:szCs w:val="22"/>
        </w:rPr>
        <w:t>, 8, 100417. https://doi.org/10.1016/j.caeai.2025.100417</w:t>
      </w:r>
    </w:p>
    <w:p w14:paraId="4932A2D0" w14:textId="77777777" w:rsidR="008E39B6" w:rsidRPr="00FE6A70" w:rsidRDefault="00000000">
      <w:pPr>
        <w:pStyle w:val="font-claude-response-body"/>
        <w:rPr>
          <w:sz w:val="22"/>
          <w:szCs w:val="22"/>
          <w:lang w:eastAsia="es-EC"/>
        </w:rPr>
      </w:pPr>
      <w:r w:rsidRPr="00FE6A70">
        <w:rPr>
          <w:sz w:val="22"/>
          <w:szCs w:val="22"/>
          <w:lang w:val="es-EC"/>
        </w:rPr>
        <w:t xml:space="preserve">Platonova, R. I., Orekhovskaya, N. A., Dautova, S. B., Martynenko, E. V., Kryukova, N. I., &amp; Demir, S. (2022). </w:t>
      </w:r>
      <w:r>
        <w:rPr>
          <w:sz w:val="22"/>
          <w:szCs w:val="22"/>
        </w:rPr>
        <w:t xml:space="preserve">Blended learning in higher education: Diversifying models and practical recommendations for researchers. </w:t>
      </w:r>
      <w:r>
        <w:rPr>
          <w:rStyle w:val="nfasis"/>
          <w:sz w:val="22"/>
          <w:szCs w:val="22"/>
        </w:rPr>
        <w:t>Frontiers in Education</w:t>
      </w:r>
      <w:r>
        <w:rPr>
          <w:sz w:val="22"/>
          <w:szCs w:val="22"/>
        </w:rPr>
        <w:t>, 7, 957199. https://doi.org/10.3389/feduc.2022.957199</w:t>
      </w:r>
    </w:p>
    <w:p w14:paraId="369CDBA8" w14:textId="77777777" w:rsidR="008E39B6" w:rsidRPr="00FE6A70" w:rsidRDefault="00000000">
      <w:pPr>
        <w:pStyle w:val="font-claude-response-body"/>
        <w:rPr>
          <w:sz w:val="22"/>
          <w:szCs w:val="22"/>
          <w:lang w:eastAsia="es-EC"/>
        </w:rPr>
      </w:pPr>
      <w:r>
        <w:rPr>
          <w:sz w:val="22"/>
          <w:szCs w:val="22"/>
        </w:rPr>
        <w:t>Scaria, N., Chenna, S. D., &amp; Subramani, D. (2024). Automated educational question generation at different Bloom's skill levels using large language models: Strategies and evaluation. En Artificial Intelligence in Education (AIED 2024). Springer. https://doi.org/10.1007/978-3-031-64299-9_12</w:t>
      </w:r>
    </w:p>
    <w:p w14:paraId="3AA38A8F" w14:textId="77777777" w:rsidR="008E39B6" w:rsidRDefault="00000000">
      <w:pPr>
        <w:pStyle w:val="font-claude-response-body"/>
        <w:rPr>
          <w:sz w:val="22"/>
          <w:szCs w:val="22"/>
        </w:rPr>
      </w:pPr>
      <w:r>
        <w:rPr>
          <w:sz w:val="22"/>
          <w:szCs w:val="22"/>
        </w:rPr>
        <w:t xml:space="preserve">Dwiedi, Y. K., Helal, M. Y. I., Elgendy, I. A., Albashrawi, M. A., Hughes, L., Shawosh, M., Dutot, V., &amp; Jeon, I. (2026). Artificial intelligence agents and agentic systems in hospitality and tourism: Challenges, opportunities and research agenda. </w:t>
      </w:r>
      <w:r>
        <w:rPr>
          <w:rStyle w:val="nfasis"/>
          <w:sz w:val="22"/>
          <w:szCs w:val="22"/>
        </w:rPr>
        <w:t>International Journal of Contemporary Hospitality Management</w:t>
      </w:r>
      <w:r>
        <w:rPr>
          <w:sz w:val="22"/>
          <w:szCs w:val="22"/>
        </w:rPr>
        <w:t>, 38(1), 27–52.</w:t>
      </w:r>
    </w:p>
    <w:p w14:paraId="2F075137" w14:textId="77777777" w:rsidR="008E39B6" w:rsidRDefault="008E39B6">
      <w:pPr>
        <w:pStyle w:val="font-claude-response-body"/>
        <w:rPr>
          <w:sz w:val="22"/>
          <w:szCs w:val="22"/>
        </w:rPr>
      </w:pPr>
    </w:p>
    <w:sectPr w:rsidR="008E39B6">
      <w:headerReference w:type="default" r:id="rId10"/>
      <w:pgSz w:w="11906" w:h="16838"/>
      <w:pgMar w:top="1077" w:right="737" w:bottom="1701" w:left="737" w:header="539" w:footer="0" w:gutter="0"/>
      <w:cols w:num="2" w:space="24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48D11" w14:textId="77777777" w:rsidR="001C09A5" w:rsidRDefault="001C09A5">
      <w:r>
        <w:separator/>
      </w:r>
    </w:p>
  </w:endnote>
  <w:endnote w:type="continuationSeparator" w:id="0">
    <w:p w14:paraId="13D86945" w14:textId="77777777" w:rsidR="001C09A5" w:rsidRDefault="001C0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ＭＳ 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FB986" w14:textId="77777777" w:rsidR="001C09A5" w:rsidRDefault="001C09A5">
      <w:pPr>
        <w:rPr>
          <w:sz w:val="12"/>
        </w:rPr>
      </w:pPr>
      <w:r>
        <w:separator/>
      </w:r>
    </w:p>
  </w:footnote>
  <w:footnote w:type="continuationSeparator" w:id="0">
    <w:p w14:paraId="26226661" w14:textId="77777777" w:rsidR="001C09A5" w:rsidRDefault="001C09A5">
      <w:pPr>
        <w:rPr>
          <w:sz w:val="12"/>
        </w:rPr>
      </w:pPr>
      <w:r>
        <w:continuationSeparator/>
      </w:r>
    </w:p>
  </w:footnote>
  <w:footnote w:id="1">
    <w:p w14:paraId="5F9E1DC7" w14:textId="77777777" w:rsidR="008E39B6" w:rsidRDefault="00000000">
      <w:pPr>
        <w:pStyle w:val="Textonotapie"/>
        <w:ind w:firstLine="0"/>
        <w:rPr>
          <w:lang w:val="es-AR"/>
        </w:rPr>
      </w:pPr>
      <w:r>
        <w:rPr>
          <w:rStyle w:val="FootnoteCharacters"/>
        </w:rPr>
        <w:t></w:t>
      </w:r>
      <w:r>
        <w:rPr>
          <w:lang w:val="es-A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8F2F4" w14:textId="2E9F3207" w:rsidR="008E39B6" w:rsidRDefault="00FE6A70">
    <w:pPr>
      <w:pStyle w:val="Encabezado"/>
      <w:ind w:right="360"/>
      <w:rPr>
        <w:sz w:val="16"/>
      </w:rPr>
    </w:pPr>
    <w:r>
      <w:rPr>
        <w:noProof/>
      </w:rPr>
      <w:pict w14:anchorId="28A87BEB">
        <v:shapetype id="_x0000_t202" coordsize="21600,21600" o:spt="202" path="m,l,21600r21600,l21600,xe">
          <v:stroke joinstyle="miter"/>
          <v:path gradientshapeok="t" o:connecttype="rect"/>
        </v:shapetype>
        <v:shape id="Frame2" o:spid="_x0000_s1025" type="#_x0000_t202" style="position:absolute;margin-left:-47.3pt;margin-top:.05pt;width:3.9pt;height:8.9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" o:allowincell="f" stroked="f">
          <v:fill opacity="0"/>
          <v:textbox inset="0,0,0,0">
            <w:txbxContent>
              <w:p w14:paraId="28BB142C" w14:textId="77777777" w:rsidR="008E39B6" w:rsidRDefault="00000000">
                <w:pPr>
                  <w:pStyle w:val="Encabezado"/>
                  <w:rPr>
                    <w:rStyle w:val="Nmerodepgina"/>
                    <w:sz w:val="16"/>
                  </w:rPr>
                </w:pPr>
                <w:r>
                  <w:rPr>
                    <w:rStyle w:val="Nmerodepgina"/>
                    <w:sz w:val="16"/>
                  </w:rPr>
                  <w:fldChar w:fldCharType="begin"/>
                </w:r>
                <w:r>
                  <w:rPr>
                    <w:rStyle w:val="Nmerodepgina"/>
                    <w:sz w:val="16"/>
                  </w:rPr>
                  <w:instrText xml:space="preserve"> PAGE </w:instrText>
                </w:r>
                <w:r>
                  <w:rPr>
                    <w:rStyle w:val="Nmerodepgina"/>
                    <w:sz w:val="16"/>
                  </w:rPr>
                  <w:fldChar w:fldCharType="separate"/>
                </w:r>
                <w:r>
                  <w:rPr>
                    <w:rStyle w:val="Nmerodepgina"/>
                    <w:sz w:val="16"/>
                  </w:rPr>
                  <w:t>3</w:t>
                </w:r>
                <w:r>
                  <w:rPr>
                    <w:rStyle w:val="Nmerodepgina"/>
                    <w:sz w:val="16"/>
                  </w:rPr>
                  <w:fldChar w:fldCharType="end"/>
                </w:r>
              </w:p>
            </w:txbxContent>
          </v:textbox>
          <w10:wrap type="square" anchorx="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153ED"/>
    <w:multiLevelType w:val="multilevel"/>
    <w:tmpl w:val="E5521A2E"/>
    <w:lvl w:ilvl="0">
      <w:start w:val="1"/>
      <w:numFmt w:val="bullet"/>
      <w:pStyle w:val="Listaconvietas2"/>
      <w:lvlText w:val=""/>
      <w:lvlJc w:val="left"/>
      <w:pPr>
        <w:tabs>
          <w:tab w:val="num" w:pos="72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50A54F5"/>
    <w:multiLevelType w:val="multilevel"/>
    <w:tmpl w:val="EEB685E2"/>
    <w:lvl w:ilvl="0">
      <w:start w:val="1"/>
      <w:numFmt w:val="upperRoman"/>
      <w:pStyle w:val="Ttulo1"/>
      <w:suff w:val="nothing"/>
      <w:lvlText w:val="%1.  "/>
      <w:lvlJc w:val="left"/>
      <w:pPr>
        <w:tabs>
          <w:tab w:val="num" w:pos="0"/>
        </w:tabs>
        <w:ind w:left="0" w:firstLine="0"/>
      </w:pPr>
    </w:lvl>
    <w:lvl w:ilvl="1">
      <w:start w:val="1"/>
      <w:numFmt w:val="upperLetter"/>
      <w:suff w:val="nothing"/>
      <w:lvlText w:val="%2.  "/>
      <w:lvlJc w:val="left"/>
      <w:pPr>
        <w:tabs>
          <w:tab w:val="num" w:pos="0"/>
        </w:tabs>
        <w:ind w:left="0" w:firstLine="0"/>
      </w:pPr>
    </w:lvl>
    <w:lvl w:ilvl="2">
      <w:start w:val="1"/>
      <w:numFmt w:val="decimal"/>
      <w:suff w:val="nothing"/>
      <w:lvlText w:val="    %3)  "/>
      <w:lvlJc w:val="left"/>
      <w:pPr>
        <w:tabs>
          <w:tab w:val="num" w:pos="0"/>
        </w:tabs>
        <w:ind w:left="0" w:firstLine="0"/>
      </w:pPr>
    </w:lvl>
    <w:lvl w:ilvl="3">
      <w:start w:val="1"/>
      <w:numFmt w:val="lowerLetter"/>
      <w:suff w:val="nothing"/>
      <w:lvlText w:val="          %4)  "/>
      <w:lvlJc w:val="left"/>
      <w:pPr>
        <w:tabs>
          <w:tab w:val="num" w:pos="0"/>
        </w:tabs>
        <w:ind w:left="0" w:firstLine="0"/>
      </w:pPr>
    </w:lvl>
    <w:lvl w:ilvl="4">
      <w:start w:val="1"/>
      <w:numFmt w:val="decimal"/>
      <w:suff w:val="nothing"/>
      <w:lvlText w:val="                (%5)  "/>
      <w:lvlJc w:val="left"/>
      <w:pPr>
        <w:tabs>
          <w:tab w:val="num" w:pos="0"/>
        </w:tabs>
        <w:ind w:left="0" w:firstLine="0"/>
      </w:pPr>
    </w:lvl>
    <w:lvl w:ilvl="5">
      <w:start w:val="1"/>
      <w:numFmt w:val="lowerLetter"/>
      <w:suff w:val="nothing"/>
      <w:lvlText w:val="                (%6)  "/>
      <w:lvlJc w:val="left"/>
      <w:pPr>
        <w:tabs>
          <w:tab w:val="num" w:pos="0"/>
        </w:tabs>
        <w:ind w:left="0" w:firstLine="0"/>
      </w:pPr>
    </w:lvl>
    <w:lvl w:ilvl="6">
      <w:start w:val="1"/>
      <w:numFmt w:val="decimal"/>
      <w:suff w:val="nothing"/>
      <w:lvlText w:val="                (%7)  "/>
      <w:lvlJc w:val="left"/>
      <w:pPr>
        <w:tabs>
          <w:tab w:val="num" w:pos="0"/>
        </w:tabs>
        <w:ind w:left="0" w:firstLine="0"/>
      </w:pPr>
    </w:lvl>
    <w:lvl w:ilvl="7">
      <w:start w:val="1"/>
      <w:numFmt w:val="lowerLetter"/>
      <w:suff w:val="nothing"/>
      <w:lvlText w:val="                (%8)  "/>
      <w:lvlJc w:val="left"/>
      <w:pPr>
        <w:tabs>
          <w:tab w:val="num" w:pos="0"/>
        </w:tabs>
        <w:ind w:left="0" w:firstLine="0"/>
      </w:pPr>
    </w:lvl>
    <w:lvl w:ilvl="8">
      <w:start w:val="1"/>
      <w:numFmt w:val="decimal"/>
      <w:suff w:val="nothing"/>
      <w:lvlText w:val="(%9)  "/>
      <w:lvlJc w:val="left"/>
      <w:pPr>
        <w:tabs>
          <w:tab w:val="num" w:pos="0"/>
        </w:tabs>
        <w:ind w:left="0" w:firstLine="0"/>
      </w:pPr>
    </w:lvl>
  </w:abstractNum>
  <w:abstractNum w:abstractNumId="2" w15:restartNumberingAfterBreak="0">
    <w:nsid w:val="20646541"/>
    <w:multiLevelType w:val="multilevel"/>
    <w:tmpl w:val="7B8077BE"/>
    <w:lvl w:ilvl="0">
      <w:start w:val="1"/>
      <w:numFmt w:val="decimal"/>
      <w:pStyle w:val="Lemma"/>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36E0CC6"/>
    <w:multiLevelType w:val="multilevel"/>
    <w:tmpl w:val="5EB855F4"/>
    <w:lvl w:ilvl="0">
      <w:start w:val="1"/>
      <w:numFmt w:val="decimal"/>
      <w:pStyle w:val="Theorem"/>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4B44B9A"/>
    <w:multiLevelType w:val="multilevel"/>
    <w:tmpl w:val="0FAEFC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A3A1933"/>
    <w:multiLevelType w:val="multilevel"/>
    <w:tmpl w:val="F6F6D25C"/>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5B1555A"/>
    <w:multiLevelType w:val="multilevel"/>
    <w:tmpl w:val="7084E0BE"/>
    <w:lvl w:ilvl="0">
      <w:start w:val="1"/>
      <w:numFmt w:val="decimal"/>
      <w:pStyle w:val="References"/>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6933C5F"/>
    <w:multiLevelType w:val="multilevel"/>
    <w:tmpl w:val="6C266624"/>
    <w:lvl w:ilvl="0">
      <w:start w:val="1"/>
      <w:numFmt w:val="bullet"/>
      <w:pStyle w:val="Listaconvietas"/>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12908566">
    <w:abstractNumId w:val="4"/>
  </w:num>
  <w:num w:numId="2" w16cid:durableId="749354561">
    <w:abstractNumId w:val="0"/>
  </w:num>
  <w:num w:numId="3" w16cid:durableId="1953048357">
    <w:abstractNumId w:val="7"/>
  </w:num>
  <w:num w:numId="4" w16cid:durableId="2054038075">
    <w:abstractNumId w:val="1"/>
  </w:num>
  <w:num w:numId="5" w16cid:durableId="163473793">
    <w:abstractNumId w:val="6"/>
  </w:num>
  <w:num w:numId="6" w16cid:durableId="25107443">
    <w:abstractNumId w:val="5"/>
  </w:num>
  <w:num w:numId="7" w16cid:durableId="366638021">
    <w:abstractNumId w:val="3"/>
  </w:num>
  <w:num w:numId="8" w16cid:durableId="580722916">
    <w:abstractNumId w:val="2"/>
  </w:num>
  <w:num w:numId="9" w16cid:durableId="13714894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204"/>
  <w:autoHyphenation/>
  <w:hyphenationZone w:val="425"/>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39B6"/>
    <w:rsid w:val="001C09A5"/>
    <w:rsid w:val="008E39B6"/>
    <w:rsid w:val="00FE6A7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E4B8E16"/>
  <w15:docId w15:val="{363746C9-647F-40A3-A29B-0F62FF4E8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lang w:eastAsia="zh-CN"/>
    </w:rPr>
  </w:style>
  <w:style w:type="paragraph" w:styleId="Ttulo1">
    <w:name w:val="heading 1"/>
    <w:basedOn w:val="Normal"/>
    <w:next w:val="Normal"/>
    <w:uiPriority w:val="9"/>
    <w:qFormat/>
    <w:pPr>
      <w:keepNext/>
      <w:numPr>
        <w:numId w:val="4"/>
      </w:numPr>
      <w:spacing w:before="240" w:after="80"/>
      <w:jc w:val="center"/>
      <w:outlineLvl w:val="0"/>
    </w:pPr>
    <w:rPr>
      <w:smallCaps/>
      <w:kern w:val="2"/>
    </w:rPr>
  </w:style>
  <w:style w:type="paragraph" w:styleId="Ttulo2">
    <w:name w:val="heading 2"/>
    <w:basedOn w:val="Normal"/>
    <w:next w:val="Normal"/>
    <w:uiPriority w:val="9"/>
    <w:semiHidden/>
    <w:unhideWhenUsed/>
    <w:qFormat/>
    <w:pPr>
      <w:keepNext/>
      <w:tabs>
        <w:tab w:val="num" w:pos="0"/>
      </w:tabs>
      <w:spacing w:before="120" w:after="60"/>
      <w:outlineLvl w:val="1"/>
    </w:pPr>
    <w:rPr>
      <w:i/>
    </w:rPr>
  </w:style>
  <w:style w:type="paragraph" w:styleId="Ttulo3">
    <w:name w:val="heading 3"/>
    <w:basedOn w:val="Normal"/>
    <w:next w:val="Normal"/>
    <w:uiPriority w:val="9"/>
    <w:semiHidden/>
    <w:unhideWhenUsed/>
    <w:qFormat/>
    <w:pPr>
      <w:keepNext/>
      <w:tabs>
        <w:tab w:val="num" w:pos="0"/>
      </w:tabs>
      <w:outlineLvl w:val="2"/>
    </w:pPr>
    <w:rPr>
      <w:i/>
    </w:rPr>
  </w:style>
  <w:style w:type="paragraph" w:styleId="Ttulo4">
    <w:name w:val="heading 4"/>
    <w:basedOn w:val="Normal"/>
    <w:next w:val="Normal"/>
    <w:uiPriority w:val="9"/>
    <w:semiHidden/>
    <w:unhideWhenUsed/>
    <w:qFormat/>
    <w:pPr>
      <w:keepNext/>
      <w:tabs>
        <w:tab w:val="num" w:pos="0"/>
      </w:tabs>
      <w:outlineLvl w:val="3"/>
    </w:pPr>
    <w:rPr>
      <w:i/>
    </w:rPr>
  </w:style>
  <w:style w:type="paragraph" w:styleId="Ttulo5">
    <w:name w:val="heading 5"/>
    <w:basedOn w:val="Normal"/>
    <w:next w:val="Normal"/>
    <w:uiPriority w:val="9"/>
    <w:semiHidden/>
    <w:unhideWhenUsed/>
    <w:qFormat/>
    <w:pPr>
      <w:keepNext/>
      <w:tabs>
        <w:tab w:val="num" w:pos="0"/>
      </w:tabs>
      <w:outlineLvl w:val="4"/>
    </w:pPr>
    <w:rPr>
      <w:i/>
    </w:rPr>
  </w:style>
  <w:style w:type="paragraph" w:styleId="Ttulo6">
    <w:name w:val="heading 6"/>
    <w:basedOn w:val="Normal"/>
    <w:next w:val="Normal"/>
    <w:uiPriority w:val="9"/>
    <w:semiHidden/>
    <w:unhideWhenUsed/>
    <w:qFormat/>
    <w:pPr>
      <w:keepNext/>
      <w:tabs>
        <w:tab w:val="num" w:pos="0"/>
      </w:tabs>
      <w:ind w:left="360"/>
      <w:outlineLvl w:val="5"/>
    </w:pPr>
    <w:rPr>
      <w:i/>
    </w:rPr>
  </w:style>
  <w:style w:type="paragraph" w:styleId="Ttulo7">
    <w:name w:val="heading 7"/>
    <w:basedOn w:val="Normal"/>
    <w:next w:val="Normal"/>
    <w:qFormat/>
    <w:pPr>
      <w:keepNext/>
      <w:tabs>
        <w:tab w:val="num" w:pos="0"/>
      </w:tabs>
      <w:ind w:left="720"/>
      <w:outlineLvl w:val="6"/>
    </w:pPr>
    <w:rPr>
      <w:i/>
    </w:rPr>
  </w:style>
  <w:style w:type="paragraph" w:styleId="Ttulo8">
    <w:name w:val="heading 8"/>
    <w:basedOn w:val="Normal"/>
    <w:next w:val="Normal"/>
    <w:qFormat/>
    <w:pPr>
      <w:keepNext/>
      <w:tabs>
        <w:tab w:val="num" w:pos="0"/>
      </w:tabs>
      <w:ind w:left="1080"/>
      <w:outlineLvl w:val="7"/>
    </w:pPr>
    <w:rPr>
      <w:i/>
    </w:rPr>
  </w:style>
  <w:style w:type="paragraph" w:styleId="Ttulo9">
    <w:name w:val="heading 9"/>
    <w:basedOn w:val="Normal"/>
    <w:next w:val="Normal"/>
    <w:qFormat/>
    <w:pPr>
      <w:keepNext/>
      <w:tabs>
        <w:tab w:val="num" w:pos="0"/>
      </w:tabs>
      <w:ind w:left="2160"/>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Symbol" w:hAnsi="Symbol" w:cs="Symbol"/>
    </w:rPr>
  </w:style>
  <w:style w:type="character" w:customStyle="1" w:styleId="WW8Num3z0">
    <w:name w:val="WW8Num3z0"/>
    <w:qFormat/>
    <w:rPr>
      <w:rFonts w:ascii="Symbol" w:hAnsi="Symbol" w:cs="Symbol"/>
    </w:rPr>
  </w:style>
  <w:style w:type="character" w:customStyle="1" w:styleId="WW8Num6z0">
    <w:name w:val="WW8Num6z0"/>
    <w:qFormat/>
  </w:style>
  <w:style w:type="character" w:customStyle="1" w:styleId="MemberType">
    <w:name w:val="MemberType"/>
    <w:qFormat/>
    <w:rPr>
      <w:rFonts w:ascii="Times New Roman" w:hAnsi="Times New Roman" w:cs="Times New Roman"/>
      <w:i/>
      <w:sz w:val="22"/>
    </w:rPr>
  </w:style>
  <w:style w:type="character" w:customStyle="1" w:styleId="FootnoteCharacters">
    <w:name w:val="Footnote Characters"/>
    <w:qFormat/>
    <w:rPr>
      <w:vertAlign w:val="superscript"/>
    </w:rPr>
  </w:style>
  <w:style w:type="character" w:styleId="Hipervnculo">
    <w:name w:val="Hyperlink"/>
    <w:rPr>
      <w:color w:val="0000FF"/>
    </w:rPr>
  </w:style>
  <w:style w:type="character" w:styleId="Hipervnculovisitado">
    <w:name w:val="FollowedHyperlink"/>
    <w:rPr>
      <w:color w:val="800080"/>
    </w:rPr>
  </w:style>
  <w:style w:type="character" w:styleId="Nmerodepgina">
    <w:name w:val="page number"/>
    <w:basedOn w:val="Fuentedeprrafopredeter"/>
  </w:style>
  <w:style w:type="character" w:styleId="Textoennegrita">
    <w:name w:val="Strong"/>
    <w:qFormat/>
    <w:rPr>
      <w:b/>
    </w:rPr>
  </w:style>
  <w:style w:type="character" w:customStyle="1" w:styleId="animating6ta1u10">
    <w:name w:val="_animating_6ta1u_10"/>
    <w:basedOn w:val="Fuentedeprrafopredeter"/>
    <w:qFormat/>
  </w:style>
  <w:style w:type="character" w:styleId="nfasis">
    <w:name w:val="Emphasis"/>
    <w:qFormat/>
    <w:rPr>
      <w:i/>
      <w:iCs/>
    </w:rPr>
  </w:style>
  <w:style w:type="character" w:styleId="Refdenotaalpie">
    <w:name w:val="footnote reference"/>
    <w:rPr>
      <w:vertAlign w:val="superscript"/>
    </w:rPr>
  </w:style>
  <w:style w:type="character" w:styleId="Refdenotaalfinal">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Normal"/>
    <w:qFormat/>
    <w:pPr>
      <w:jc w:val="center"/>
    </w:pPr>
    <w:rPr>
      <w:kern w:val="2"/>
      <w:sz w:val="48"/>
    </w:rPr>
  </w:style>
  <w:style w:type="paragraph" w:styleId="Textoindependiente">
    <w:name w:val="Body Text"/>
    <w:basedOn w:val="Normal"/>
    <w:pPr>
      <w:jc w:val="both"/>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basedOn w:val="Normal"/>
    <w:next w:val="Normal"/>
    <w:qFormat/>
    <w:pPr>
      <w:spacing w:before="20"/>
      <w:ind w:firstLine="240"/>
      <w:jc w:val="both"/>
    </w:pPr>
    <w:rPr>
      <w:b/>
      <w:sz w:val="18"/>
    </w:rPr>
  </w:style>
  <w:style w:type="paragraph" w:customStyle="1" w:styleId="Authors">
    <w:name w:val="Authors"/>
    <w:basedOn w:val="Normal"/>
    <w:next w:val="Normal"/>
    <w:qFormat/>
    <w:pPr>
      <w:spacing w:after="320"/>
      <w:jc w:val="center"/>
    </w:pPr>
    <w:rPr>
      <w:sz w:val="22"/>
    </w:rPr>
  </w:style>
  <w:style w:type="paragraph" w:styleId="Textonotapie">
    <w:name w:val="footnote text"/>
    <w:basedOn w:val="Normal"/>
    <w:pPr>
      <w:ind w:firstLine="240"/>
      <w:jc w:val="both"/>
    </w:pPr>
    <w:rPr>
      <w:sz w:val="16"/>
    </w:rPr>
  </w:style>
  <w:style w:type="paragraph" w:styleId="Listaconnmeros">
    <w:name w:val="List Number"/>
    <w:basedOn w:val="Normal"/>
    <w:qFormat/>
    <w:pPr>
      <w:numPr>
        <w:numId w:val="6"/>
      </w:numPr>
    </w:pPr>
  </w:style>
  <w:style w:type="paragraph" w:customStyle="1" w:styleId="References">
    <w:name w:val="References"/>
    <w:basedOn w:val="Listaconnmeros"/>
    <w:qFormat/>
    <w:pPr>
      <w:numPr>
        <w:numId w:val="5"/>
      </w:numPr>
      <w:jc w:val="both"/>
    </w:pPr>
    <w:rPr>
      <w:sz w:val="16"/>
    </w:rPr>
  </w:style>
  <w:style w:type="paragraph" w:customStyle="1" w:styleId="IndexTerms">
    <w:name w:val="IndexTerms"/>
    <w:basedOn w:val="Normal"/>
    <w:next w:val="Normal"/>
    <w:qFormat/>
    <w:pPr>
      <w:ind w:firstLine="240"/>
      <w:jc w:val="both"/>
    </w:pPr>
    <w:rPr>
      <w:b/>
      <w:sz w:val="18"/>
    </w:rPr>
  </w:style>
  <w:style w:type="paragraph" w:customStyle="1" w:styleId="Theorem">
    <w:name w:val="Theorem"/>
    <w:basedOn w:val="Ttulo3"/>
    <w:qFormat/>
    <w:pPr>
      <w:numPr>
        <w:numId w:val="7"/>
      </w:numPr>
      <w:outlineLvl w:val="9"/>
    </w:pPr>
  </w:style>
  <w:style w:type="paragraph" w:customStyle="1" w:styleId="Lemma">
    <w:name w:val="Lemma"/>
    <w:basedOn w:val="Ttulo3"/>
    <w:qFormat/>
    <w:pPr>
      <w:numPr>
        <w:numId w:val="8"/>
      </w:numPr>
      <w:outlineLvl w:val="9"/>
    </w:p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paragraph" w:styleId="Sangradetextonormal">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5" w:lineRule="auto"/>
      <w:ind w:firstLine="216"/>
      <w:jc w:val="both"/>
    </w:pPr>
    <w:rPr>
      <w:sz w:val="16"/>
    </w:rPr>
  </w:style>
  <w:style w:type="paragraph" w:customStyle="1" w:styleId="Text">
    <w:name w:val="Text"/>
    <w:basedOn w:val="Normal"/>
    <w:qFormat/>
    <w:pPr>
      <w:widowControl w:val="0"/>
      <w:spacing w:line="252" w:lineRule="auto"/>
      <w:ind w:firstLine="240"/>
      <w:jc w:val="both"/>
    </w:pPr>
  </w:style>
  <w:style w:type="paragraph" w:customStyle="1" w:styleId="FigureCaption">
    <w:name w:val="Figure Caption"/>
    <w:basedOn w:val="Normal"/>
    <w:qFormat/>
    <w:pPr>
      <w:jc w:val="both"/>
    </w:pPr>
    <w:rPr>
      <w:sz w:val="16"/>
    </w:rPr>
  </w:style>
  <w:style w:type="paragraph" w:customStyle="1" w:styleId="TableTitle">
    <w:name w:val="Table Title"/>
    <w:basedOn w:val="Normal"/>
    <w:qFormat/>
    <w:pPr>
      <w:jc w:val="center"/>
    </w:pPr>
    <w:rPr>
      <w:smallCaps/>
      <w:sz w:val="16"/>
    </w:rPr>
  </w:style>
  <w:style w:type="paragraph" w:styleId="Textosinformato">
    <w:name w:val="Plain Text"/>
    <w:basedOn w:val="Normal"/>
    <w:qFormat/>
    <w:rPr>
      <w:rFonts w:ascii="Courier New" w:hAnsi="Courier New" w:cs="Courier New"/>
    </w:rPr>
  </w:style>
  <w:style w:type="paragraph" w:customStyle="1" w:styleId="Biography">
    <w:name w:val="Biography"/>
    <w:basedOn w:val="Textosinformato"/>
    <w:qFormat/>
    <w:pPr>
      <w:spacing w:before="240"/>
      <w:jc w:val="both"/>
    </w:pPr>
    <w:rPr>
      <w:rFonts w:ascii="Times New Roman" w:hAnsi="Times New Roman" w:cs="Times New Roman"/>
      <w:sz w:val="16"/>
    </w:rPr>
  </w:style>
  <w:style w:type="paragraph" w:customStyle="1" w:styleId="BiographyBody">
    <w:name w:val="Biography Body"/>
    <w:basedOn w:val="Biography"/>
    <w:qFormat/>
    <w:pPr>
      <w:spacing w:before="0"/>
      <w:ind w:firstLine="240"/>
    </w:pPr>
  </w:style>
  <w:style w:type="paragraph" w:styleId="Textoindependiente2">
    <w:name w:val="Body Text 2"/>
    <w:basedOn w:val="Normal"/>
    <w:qFormat/>
    <w:pPr>
      <w:widowControl w:val="0"/>
      <w:jc w:val="both"/>
    </w:pPr>
    <w:rPr>
      <w:rFonts w:ascii="Arial" w:hAnsi="Arial" w:cs="Arial"/>
    </w:rPr>
  </w:style>
  <w:style w:type="paragraph" w:styleId="Listaconvietas">
    <w:name w:val="List Bullet"/>
    <w:basedOn w:val="Normal"/>
    <w:qFormat/>
    <w:pPr>
      <w:numPr>
        <w:numId w:val="3"/>
      </w:numPr>
      <w:spacing w:after="200" w:line="276" w:lineRule="auto"/>
      <w:contextualSpacing/>
    </w:pPr>
    <w:rPr>
      <w:rFonts w:ascii="Cambria" w:eastAsia="MS Mincho;ＭＳ 明朝" w:hAnsi="Cambria"/>
      <w:sz w:val="22"/>
      <w:szCs w:val="22"/>
    </w:rPr>
  </w:style>
  <w:style w:type="paragraph" w:styleId="Listaconvietas2">
    <w:name w:val="List Bullet 2"/>
    <w:basedOn w:val="Normal"/>
    <w:qFormat/>
    <w:pPr>
      <w:numPr>
        <w:numId w:val="2"/>
      </w:numPr>
      <w:spacing w:after="200" w:line="276" w:lineRule="auto"/>
      <w:ind w:left="0" w:firstLine="0"/>
      <w:contextualSpacing/>
    </w:pPr>
    <w:rPr>
      <w:rFonts w:ascii="Cambria" w:eastAsia="MS Mincho;ＭＳ 明朝" w:hAnsi="Cambria"/>
      <w:sz w:val="22"/>
      <w:szCs w:val="22"/>
    </w:rPr>
  </w:style>
  <w:style w:type="paragraph" w:customStyle="1" w:styleId="font-claude-response-body">
    <w:name w:val="font-claude-response-body"/>
    <w:basedOn w:val="Normal"/>
    <w:qFormat/>
    <w:pPr>
      <w:spacing w:before="100" w:after="100"/>
    </w:pPr>
    <w:rPr>
      <w:sz w:val="24"/>
      <w:szCs w:val="24"/>
      <w:lang w:val="en-U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StyleNum">
    <w:name w:val="WW8StyleNum"/>
    <w:qFormat/>
  </w:style>
  <w:style w:type="numbering" w:customStyle="1" w:styleId="WW8StyleNum1">
    <w:name w:val="WW8StyleNum1"/>
    <w:qFormat/>
  </w:style>
  <w:style w:type="numbering" w:customStyle="1" w:styleId="WW8StyleNum2">
    <w:name w:val="WW8StyleNum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Practicum/1.2/arquitectura_contexto-C4%20-%201.%20Contexto.drawio%20(1).p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344/der.2024.45.141-149"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3791</Words>
  <Characters>20856</Characters>
  <Application>Microsoft Office Word</Application>
  <DocSecurity>0</DocSecurity>
  <Lines>173</Lines>
  <Paragraphs>49</Paragraphs>
  <ScaleCrop>false</ScaleCrop>
  <Company/>
  <LinksUpToDate>false</LinksUpToDate>
  <CharactersWithSpaces>24598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israel calle</cp:lastModifiedBy>
  <cp:revision>3</cp:revision>
  <dcterms:created xsi:type="dcterms:W3CDTF">2026-07-21T07:16:00Z</dcterms:created>
  <dcterms:modified xsi:type="dcterms:W3CDTF">2026-07-21T07:17:00Z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2026-06-23T21:47:00Z</dcterms:created>
  <dc:creator>Periodicals</dc:creator>
  <dc:description/>
  <cp:keywords/>
  <dc:language>en-US</dc:language>
  <cp:lastModifiedBy>israel calle</cp:lastModifiedBy>
  <cp:lastPrinted>2005-01-16T23:04:00Z</cp:lastPrinted>
  <dcterms:modified xsi:type="dcterms:W3CDTF">2026-07-03T04:26:00Z</dcterms:modified>
  <cp:revision>4</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327939035</vt:r8>
  </property>
  <property fmtid="{D5CDD505-2E9C-101B-9397-08002B2CF9AE}" pid="3" name="_AuthorEmail">
    <vt:lpwstr>eduardo@cateringnb.com.ar</vt:lpwstr>
  </property>
  <property fmtid="{D5CDD505-2E9C-101B-9397-08002B2CF9AE}" pid="4" name="_AuthorEmailDisplayName">
    <vt:lpwstr>Juan Eduardo Balbuena</vt:lpwstr>
  </property>
  <property fmtid="{D5CDD505-2E9C-101B-9397-08002B2CF9AE}" pid="5" name="_EmailSubject">
    <vt:lpwstr>Ya sé, Ya sé.</vt:lpwstr>
  </property>
  <property fmtid="{D5CDD505-2E9C-101B-9397-08002B2CF9AE}" pid="6" name="_ReviewingToolsShownOnce">
    <vt:lpwstr/>
  </property>
</Properties>
</file>