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5F"/>
          <w:sz w:val="44"/>
          <w:szCs w:val="44"/>
        </w:rPr>
        <w:t xml:space="preserve">MITRE ATT&amp;CK DETECTION COVERAGE</w:t>
      </w:r>
    </w:p>
    <w:p>
      <w:pPr>
        <w:spacing w:after="80"/>
        <w:jc w:val="center"/>
      </w:pPr>
      <w:r>
        <w:rPr>
          <w:rFonts w:ascii="Calibri" w:cs="Calibri" w:eastAsia="Calibri" w:hAnsi="Calibri"/>
          <w:i/>
          <w:iCs/>
          <w:sz w:val="30"/>
          <w:szCs w:val="30"/>
        </w:rPr>
        <w:t xml:space="preserve">Gap Analysis Report</w:t>
      </w:r>
    </w:p>
    <w:p>
      <w:pPr>
        <w:spacing w:after="360"/>
        <w:jc w:val="center"/>
      </w:pPr>
      <w:r>
        <w:rPr>
          <w:rFonts w:ascii="Calibri" w:cs="Calibri" w:eastAsia="Calibri" w:hAnsi="Calibri"/>
          <w:sz w:val="24"/>
          <w:szCs w:val="24"/>
        </w:rPr>
        <w:t xml:space="preserve">Home SOC Lab — Splunk Edition</w:t>
      </w:r>
    </w:p>
    <w:p>
      <w:pPr>
        <w:spacing w:after="60"/>
      </w:pPr>
      <w:r>
        <w:rPr>
          <w:rFonts w:ascii="Calibri" w:cs="Calibri" w:eastAsia="Calibri" w:hAnsi="Calibri"/>
          <w:b/>
          <w:bCs/>
          <w:sz w:val="22"/>
          <w:szCs w:val="22"/>
        </w:rPr>
        <w:t xml:space="preserve">Analyst: </w:t>
      </w:r>
      <w:r>
        <w:rPr>
          <w:rFonts w:ascii="Calibri" w:cs="Calibri" w:eastAsia="Calibri" w:hAnsi="Calibri"/>
          <w:sz w:val="22"/>
          <w:szCs w:val="22"/>
        </w:rPr>
        <w:t xml:space="preserve">Israel Ehiabhi Edeaghe</w:t>
      </w:r>
    </w:p>
    <w:p>
      <w:pPr>
        <w:spacing w:after="60"/>
      </w:pPr>
      <w:r>
        <w:rPr>
          <w:rFonts w:ascii="Calibri" w:cs="Calibri" w:eastAsia="Calibri" w:hAnsi="Calibri"/>
          <w:b/>
          <w:bCs/>
          <w:sz w:val="22"/>
          <w:szCs w:val="22"/>
        </w:rPr>
        <w:t xml:space="preserve">Date: </w:t>
      </w:r>
      <w:r>
        <w:rPr>
          <w:rFonts w:ascii="Calibri" w:cs="Calibri" w:eastAsia="Calibri" w:hAnsi="Calibri"/>
          <w:sz w:val="22"/>
          <w:szCs w:val="22"/>
        </w:rPr>
        <w:t xml:space="preserve">June 2026</w:t>
      </w:r>
    </w:p>
    <w:p>
      <w:pPr>
        <w:spacing w:after="60"/>
      </w:pPr>
      <w:r>
        <w:rPr>
          <w:rFonts w:ascii="Calibri" w:cs="Calibri" w:eastAsia="Calibri" w:hAnsi="Calibri"/>
          <w:b/>
          <w:bCs/>
          <w:sz w:val="22"/>
          <w:szCs w:val="22"/>
        </w:rPr>
        <w:t xml:space="preserve">SIEM: </w:t>
      </w:r>
      <w:r>
        <w:rPr>
          <w:rFonts w:ascii="Calibri" w:cs="Calibri" w:eastAsia="Calibri" w:hAnsi="Calibri"/>
          <w:sz w:val="22"/>
          <w:szCs w:val="22"/>
        </w:rPr>
        <w:t xml:space="preserve">Splunk Enterprise (free tier)</w:t>
      </w:r>
    </w:p>
    <w:p>
      <w:pPr>
        <w:spacing w:after="60"/>
      </w:pPr>
      <w:r>
        <w:rPr>
          <w:rFonts w:ascii="Calibri" w:cs="Calibri" w:eastAsia="Calibri" w:hAnsi="Calibri"/>
          <w:b/>
          <w:bCs/>
          <w:sz w:val="22"/>
          <w:szCs w:val="22"/>
        </w:rPr>
        <w:t xml:space="preserve">ATT&amp;CK Version: </w:t>
      </w:r>
      <w:r>
        <w:rPr>
          <w:rFonts w:ascii="Calibri" w:cs="Calibri" w:eastAsia="Calibri" w:hAnsi="Calibri"/>
          <w:sz w:val="22"/>
          <w:szCs w:val="22"/>
        </w:rPr>
        <w:t xml:space="preserve">19 (Navigator 5.3.2)</w:t>
      </w:r>
    </w:p>
    <w:p>
      <w:pPr>
        <w:spacing w:after="60"/>
      </w:pPr>
      <w:r>
        <w:rPr>
          <w:rFonts w:ascii="Calibri" w:cs="Calibri" w:eastAsia="Calibri" w:hAnsi="Calibri"/>
          <w:b/>
          <w:bCs/>
          <w:sz w:val="22"/>
          <w:szCs w:val="22"/>
        </w:rPr>
        <w:t xml:space="preserve">Scope: </w:t>
      </w:r>
      <w:r>
        <w:rPr>
          <w:rFonts w:ascii="Calibri" w:cs="Calibri" w:eastAsia="Calibri" w:hAnsi="Calibri"/>
          <w:sz w:val="22"/>
          <w:szCs w:val="22"/>
        </w:rPr>
        <w:t xml:space="preserve">Windows Enterprise endpoints — all other platforms out of scope for this lab</w:t>
      </w:r>
    </w:p>
    <w:p>
      <w:pPr>
        <w:spacing w:after="160"/>
      </w:pPr>
      <w:r>
        <w:t xml:space="preserve"/>
      </w:r>
    </w:p>
    <w:p>
      <w:pPr>
        <w:pStyle w:val="Heading1"/>
      </w:pPr>
      <w:r>
        <w:t xml:space="preserve">1. Executive Summary</w:t>
      </w:r>
    </w:p>
    <w:p>
      <w:pPr>
        <w:spacing w:after="160"/>
      </w:pPr>
      <w:r>
        <w:rPr>
          <w:rFonts w:ascii="Calibri" w:cs="Calibri" w:eastAsia="Calibri" w:hAnsi="Calibri"/>
          <w:sz w:val="22"/>
          <w:szCs w:val="22"/>
        </w:rPr>
        <w:t xml:space="preserve">This report documents the MITRE ATT&amp;CK detection coverage achieved by the Home SOC Lab, a fully self-built Splunk-based detection engineering environment. The lab currently has 9 validated detections covering 7 of the 12 standard ATT&amp;CK tactics. An additional 8 high-priority detections have been identified and prioritized for future development.</w:t>
      </w:r>
    </w:p>
    <w:p>
      <w:pPr>
        <w:spacing w:after="160"/>
      </w:pPr>
      <w:r>
        <w:t xml:space="preserve"/>
      </w:r>
    </w:p>
    <w:p>
      <w:pPr>
        <w:pStyle w:val="Heading1"/>
      </w:pPr>
      <w:r>
        <w:t xml:space="preserve">2. Coverage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45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45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Total detections built &amp; tested</w:t>
            </w:r>
          </w:p>
        </w:tc>
        <w:tc>
          <w:tcPr>
            <w:tcW w:type="dxa" w:w="45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9</w:t>
            </w:r>
          </w:p>
        </w:tc>
      </w:tr>
      <w:tr>
        <w:tc>
          <w:tcPr>
            <w:tcW w:type="dxa" w:w="45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ATT&amp;CK tactics covered (built)</w:t>
            </w:r>
          </w:p>
        </w:tc>
        <w:tc>
          <w:tcPr>
            <w:tcW w:type="dxa" w:w="45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7 of 12</w:t>
            </w:r>
          </w:p>
        </w:tc>
      </w:tr>
      <w:tr>
        <w:tc>
          <w:tcPr>
            <w:tcW w:type="dxa" w:w="45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ATT&amp;CK tactics with no coverage</w:t>
            </w:r>
          </w:p>
        </w:tc>
        <w:tc>
          <w:tcPr>
            <w:tcW w:type="dxa" w:w="45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r>
      <w:tr>
        <w:tc>
          <w:tcPr>
            <w:tcW w:type="dxa" w:w="45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Planned next-priority detections</w:t>
            </w:r>
          </w:p>
        </w:tc>
        <w:tc>
          <w:tcPr>
            <w:tcW w:type="dxa" w:w="45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8</w:t>
            </w:r>
          </w:p>
        </w:tc>
      </w:tr>
      <w:tr>
        <w:tc>
          <w:tcPr>
            <w:tcW w:type="dxa" w:w="45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Detection confidence level</w:t>
            </w:r>
          </w:p>
        </w:tc>
        <w:tc>
          <w:tcPr>
            <w:tcW w:type="dxa" w:w="45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High — all validated against Atomic Red Team</w:t>
            </w:r>
          </w:p>
        </w:tc>
      </w:tr>
      <w:tr>
        <w:tc>
          <w:tcPr>
            <w:tcW w:type="dxa" w:w="45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False positive tuning documented</w:t>
            </w:r>
          </w:p>
        </w:tc>
        <w:tc>
          <w:tcPr>
            <w:tcW w:type="dxa" w:w="45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Yes — 2 detections tuned against observed FPs</w:t>
            </w:r>
          </w:p>
        </w:tc>
      </w:tr>
      <w:tr>
        <w:tc>
          <w:tcPr>
            <w:tcW w:type="dxa" w:w="45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Audit policy gaps discovered &amp; fixed</w:t>
            </w:r>
          </w:p>
        </w:tc>
        <w:tc>
          <w:tcPr>
            <w:tcW w:type="dxa" w:w="45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 (Event 4698, Event 5140 not logged by default)</w:t>
            </w:r>
          </w:p>
        </w:tc>
      </w:tr>
    </w:tbl>
    <w:p>
      <w:pPr>
        <w:spacing w:after="160"/>
      </w:pPr>
      <w:r>
        <w:t xml:space="preserve"/>
      </w:r>
    </w:p>
    <w:p>
      <w:pPr>
        <w:pStyle w:val="Heading1"/>
      </w:pPr>
      <w:r>
        <w:t xml:space="preserve">3. Tactic Coverage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000"/>
      </w:tblGrid>
      <w:tr>
        <w:tc>
          <w:tcPr>
            <w:tcW w:type="dxa" w:w="22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Tactic</w:t>
            </w:r>
          </w:p>
        </w:tc>
        <w:tc>
          <w:tcPr>
            <w:tcW w:type="dxa" w:w="18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20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Detections Built</w:t>
            </w:r>
          </w:p>
        </w:tc>
        <w:tc>
          <w:tcPr>
            <w:tcW w:type="dxa" w:w="30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2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TA0001 Initial Access</w:t>
            </w:r>
          </w:p>
        </w:tc>
        <w:tc>
          <w:tcPr>
            <w:tcW w:type="dxa" w:w="1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PARTIAL — PLANNED</w:t>
            </w:r>
          </w:p>
        </w:tc>
        <w:tc>
          <w:tcPr>
            <w:tcW w:type="dxa" w:w="2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 built / 1 planned</w:t>
            </w:r>
          </w:p>
        </w:tc>
        <w:tc>
          <w:tcPr>
            <w:tcW w:type="dxa" w:w="3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T1566.001 planned</w:t>
            </w:r>
          </w:p>
        </w:tc>
      </w:tr>
      <w:tr>
        <w:tc>
          <w:tcPr>
            <w:tcW w:type="dxa" w:w="2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TA0002 Execution</w:t>
            </w:r>
          </w:p>
        </w:tc>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COVERED</w:t>
            </w:r>
          </w:p>
        </w:tc>
        <w:tc>
          <w:tcPr>
            <w:tcW w:type="dxa" w:w="2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 built</w:t>
            </w:r>
          </w:p>
        </w:tc>
        <w:tc>
          <w:tcPr>
            <w:tcW w:type="dxa" w:w="3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T1059.001 PowerShell</w:t>
            </w:r>
          </w:p>
        </w:tc>
      </w:tr>
      <w:tr>
        <w:tc>
          <w:tcPr>
            <w:tcW w:type="dxa" w:w="22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TA0003 Persistence</w:t>
            </w:r>
          </w:p>
        </w:tc>
        <w:tc>
          <w:tcPr>
            <w:tcW w:type="dxa" w:w="1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COVERED</w:t>
            </w:r>
          </w:p>
        </w:tc>
        <w:tc>
          <w:tcPr>
            <w:tcW w:type="dxa" w:w="2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 built</w:t>
            </w:r>
          </w:p>
        </w:tc>
        <w:tc>
          <w:tcPr>
            <w:tcW w:type="dxa" w:w="3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T1547.001, T1053.005</w:t>
            </w:r>
          </w:p>
        </w:tc>
      </w:tr>
      <w:tr>
        <w:tc>
          <w:tcPr>
            <w:tcW w:type="dxa" w:w="2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TA0004 Privilege Escalation</w:t>
            </w:r>
          </w:p>
        </w:tc>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COVERED</w:t>
            </w:r>
          </w:p>
        </w:tc>
        <w:tc>
          <w:tcPr>
            <w:tcW w:type="dxa" w:w="2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 built</w:t>
            </w:r>
          </w:p>
        </w:tc>
        <w:tc>
          <w:tcPr>
            <w:tcW w:type="dxa" w:w="3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T1134.001</w:t>
            </w:r>
          </w:p>
        </w:tc>
      </w:tr>
      <w:tr>
        <w:tc>
          <w:tcPr>
            <w:tcW w:type="dxa" w:w="22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TA0005 Defense Evasion</w:t>
            </w:r>
          </w:p>
        </w:tc>
        <w:tc>
          <w:tcPr>
            <w:tcW w:type="dxa" w:w="1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COVERED</w:t>
            </w:r>
          </w:p>
        </w:tc>
        <w:tc>
          <w:tcPr>
            <w:tcW w:type="dxa" w:w="2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 built / 2 planned</w:t>
            </w:r>
          </w:p>
        </w:tc>
        <w:tc>
          <w:tcPr>
            <w:tcW w:type="dxa" w:w="3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T1055.001, T1218.011</w:t>
            </w:r>
          </w:p>
        </w:tc>
      </w:tr>
      <w:tr>
        <w:tc>
          <w:tcPr>
            <w:tcW w:type="dxa" w:w="2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TA0006 Credential Access</w:t>
            </w:r>
          </w:p>
        </w:tc>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COVERED</w:t>
            </w:r>
          </w:p>
        </w:tc>
        <w:tc>
          <w:tcPr>
            <w:tcW w:type="dxa" w:w="2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 built / 2 planned</w:t>
            </w:r>
          </w:p>
        </w:tc>
        <w:tc>
          <w:tcPr>
            <w:tcW w:type="dxa" w:w="3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T1003.001</w:t>
            </w:r>
          </w:p>
        </w:tc>
      </w:tr>
      <w:tr>
        <w:tc>
          <w:tcPr>
            <w:tcW w:type="dxa" w:w="22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TA0007 Discovery</w:t>
            </w:r>
          </w:p>
        </w:tc>
        <w:tc>
          <w:tcPr>
            <w:tcW w:type="dxa" w:w="1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GAP — NO COVERAGE</w:t>
            </w:r>
          </w:p>
        </w:tc>
        <w:tc>
          <w:tcPr>
            <w:tcW w:type="dxa" w:w="2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w:t>
            </w:r>
          </w:p>
        </w:tc>
        <w:tc>
          <w:tcPr>
            <w:tcW w:type="dxa" w:w="3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 detections built or planned in v1</w:t>
            </w:r>
          </w:p>
        </w:tc>
      </w:tr>
      <w:tr>
        <w:tc>
          <w:tcPr>
            <w:tcW w:type="dxa" w:w="2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TA0008 Lateral Movement</w:t>
            </w:r>
          </w:p>
        </w:tc>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COVERED</w:t>
            </w:r>
          </w:p>
        </w:tc>
        <w:tc>
          <w:tcPr>
            <w:tcW w:type="dxa" w:w="2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 built / 1 planned</w:t>
            </w:r>
          </w:p>
        </w:tc>
        <w:tc>
          <w:tcPr>
            <w:tcW w:type="dxa" w:w="3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T1021.002</w:t>
            </w:r>
          </w:p>
        </w:tc>
      </w:tr>
      <w:tr>
        <w:tc>
          <w:tcPr>
            <w:tcW w:type="dxa" w:w="22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TA0009 Collection</w:t>
            </w:r>
          </w:p>
        </w:tc>
        <w:tc>
          <w:tcPr>
            <w:tcW w:type="dxa" w:w="1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GAP — NO COVERAGE</w:t>
            </w:r>
          </w:p>
        </w:tc>
        <w:tc>
          <w:tcPr>
            <w:tcW w:type="dxa" w:w="2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w:t>
            </w:r>
          </w:p>
        </w:tc>
        <w:tc>
          <w:tcPr>
            <w:tcW w:type="dxa" w:w="3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Requires additional telemetry sources</w:t>
            </w:r>
          </w:p>
        </w:tc>
      </w:tr>
      <w:tr>
        <w:tc>
          <w:tcPr>
            <w:tcW w:type="dxa" w:w="2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TA0011 Command &amp; Control</w:t>
            </w:r>
          </w:p>
        </w:tc>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PARTIAL — PLANNED</w:t>
            </w:r>
          </w:p>
        </w:tc>
        <w:tc>
          <w:tcPr>
            <w:tcW w:type="dxa" w:w="2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0 built / 1 planned</w:t>
            </w:r>
          </w:p>
        </w:tc>
        <w:tc>
          <w:tcPr>
            <w:tcW w:type="dxa" w:w="3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T1105 planned</w:t>
            </w:r>
          </w:p>
        </w:tc>
      </w:tr>
      <w:tr>
        <w:tc>
          <w:tcPr>
            <w:tcW w:type="dxa" w:w="22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TA0010 Exfiltration</w:t>
            </w:r>
          </w:p>
        </w:tc>
        <w:tc>
          <w:tcPr>
            <w:tcW w:type="dxa" w:w="1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COVERED</w:t>
            </w:r>
          </w:p>
        </w:tc>
        <w:tc>
          <w:tcPr>
            <w:tcW w:type="dxa" w:w="2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 built</w:t>
            </w:r>
          </w:p>
        </w:tc>
        <w:tc>
          <w:tcPr>
            <w:tcW w:type="dxa" w:w="3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T1048.003</w:t>
            </w:r>
          </w:p>
        </w:tc>
      </w:tr>
      <w:tr>
        <w:tc>
          <w:tcPr>
            <w:tcW w:type="dxa" w:w="2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TA0040 Impact</w:t>
            </w:r>
          </w:p>
        </w:tc>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GAP — NO COVERAGE</w:t>
            </w:r>
          </w:p>
        </w:tc>
        <w:tc>
          <w:tcPr>
            <w:tcW w:type="dxa" w:w="2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0</w:t>
            </w:r>
          </w:p>
        </w:tc>
        <w:tc>
          <w:tcPr>
            <w:tcW w:type="dxa" w:w="3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Ransomware/destructive techniques</w:t>
            </w:r>
          </w:p>
        </w:tc>
      </w:tr>
    </w:tbl>
    <w:p>
      <w:pPr>
        <w:spacing w:after="160"/>
      </w:pPr>
      <w:r>
        <w:t xml:space="preserve"/>
      </w:r>
    </w:p>
    <w:p>
      <w:pPr>
        <w:pStyle w:val="Heading1"/>
      </w:pPr>
      <w:r>
        <w:t xml:space="preserve">4. Built Detections (Score 100 — Green)</w:t>
      </w:r>
    </w:p>
    <w:p>
      <w:pPr>
        <w:spacing w:after="160"/>
      </w:pPr>
      <w:r>
        <w:rPr>
          <w:rFonts w:ascii="Calibri" w:cs="Calibri" w:eastAsia="Calibri" w:hAnsi="Calibri"/>
          <w:sz w:val="22"/>
          <w:szCs w:val="22"/>
        </w:rPr>
        <w:t xml:space="preserve">All 9 of the following detections were validated against real attack telemetry generated by Atomic Red Team or manual testing in the lab. Each one fires a live Splunk scheduled alert.</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200"/>
        <w:gridCol w:w="1800"/>
        <w:gridCol w:w="700"/>
        <w:gridCol w:w="2100"/>
      </w:tblGrid>
      <w:tr>
        <w:tc>
          <w:tcPr>
            <w:tcW w:type="dxa" w:w="4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8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Technique</w:t>
            </w:r>
          </w:p>
        </w:tc>
        <w:tc>
          <w:tcPr>
            <w:tcW w:type="dxa" w:w="12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18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Tactic</w:t>
            </w:r>
          </w:p>
        </w:tc>
        <w:tc>
          <w:tcPr>
            <w:tcW w:type="dxa" w:w="7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Sev</w:t>
            </w:r>
          </w:p>
        </w:tc>
        <w:tc>
          <w:tcPr>
            <w:tcW w:type="dxa" w:w="21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Test Method</w:t>
            </w:r>
          </w:p>
        </w:tc>
      </w:tr>
      <w:tr>
        <w:tc>
          <w:tcPr>
            <w:tcW w:type="dxa" w:w="4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2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PowerShell Encoded Command</w:t>
            </w:r>
          </w:p>
        </w:tc>
        <w:tc>
          <w:tcPr>
            <w:tcW w:type="dxa" w:w="12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T1059.001</w:t>
            </w:r>
          </w:p>
        </w:tc>
        <w:tc>
          <w:tcPr>
            <w:tcW w:type="dxa" w:w="1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Execution</w:t>
            </w:r>
          </w:p>
        </w:tc>
        <w:tc>
          <w:tcPr>
            <w:tcW w:type="dxa" w:w="7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Med</w:t>
            </w:r>
          </w:p>
        </w:tc>
        <w:tc>
          <w:tcPr>
            <w:tcW w:type="dxa" w:w="21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ART T1059.001-15</w:t>
            </w:r>
          </w:p>
        </w:tc>
      </w:tr>
      <w:tr>
        <w:tc>
          <w:tcPr>
            <w:tcW w:type="dxa" w:w="4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2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LSASS Memory Dump via comsvcs.dll</w:t>
            </w:r>
          </w:p>
        </w:tc>
        <w:tc>
          <w:tcPr>
            <w:tcW w:type="dxa" w:w="1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T1003.001</w:t>
            </w:r>
          </w:p>
        </w:tc>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Credential Access</w:t>
            </w:r>
          </w:p>
        </w:tc>
        <w:tc>
          <w:tcPr>
            <w:tcW w:type="dxa" w:w="7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c>
          <w:tcPr>
            <w:tcW w:type="dxa" w:w="21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ART T1003.001-2</w:t>
            </w:r>
          </w:p>
        </w:tc>
      </w:tr>
      <w:tr>
        <w:tc>
          <w:tcPr>
            <w:tcW w:type="dxa" w:w="4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2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Lateral Movement via SMB Admin Shares</w:t>
            </w:r>
          </w:p>
        </w:tc>
        <w:tc>
          <w:tcPr>
            <w:tcW w:type="dxa" w:w="12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T1021.002</w:t>
            </w:r>
          </w:p>
        </w:tc>
        <w:tc>
          <w:tcPr>
            <w:tcW w:type="dxa" w:w="1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Lateral Movement</w:t>
            </w:r>
          </w:p>
        </w:tc>
        <w:tc>
          <w:tcPr>
            <w:tcW w:type="dxa" w:w="7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c>
          <w:tcPr>
            <w:tcW w:type="dxa" w:w="21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Manual 2-VM test</w:t>
            </w:r>
          </w:p>
        </w:tc>
      </w:tr>
      <w:tr>
        <w:tc>
          <w:tcPr>
            <w:tcW w:type="dxa" w:w="4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2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Registry Run Key Persistence</w:t>
            </w:r>
          </w:p>
        </w:tc>
        <w:tc>
          <w:tcPr>
            <w:tcW w:type="dxa" w:w="1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T1547.001</w:t>
            </w:r>
          </w:p>
        </w:tc>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Persistence</w:t>
            </w:r>
          </w:p>
        </w:tc>
        <w:tc>
          <w:tcPr>
            <w:tcW w:type="dxa" w:w="7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w:t>
            </w:r>
          </w:p>
        </w:tc>
        <w:tc>
          <w:tcPr>
            <w:tcW w:type="dxa" w:w="21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ART T1547.001-1</w:t>
            </w:r>
          </w:p>
        </w:tc>
      </w:tr>
      <w:tr>
        <w:tc>
          <w:tcPr>
            <w:tcW w:type="dxa" w:w="4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2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Scheduled Task Creation</w:t>
            </w:r>
          </w:p>
        </w:tc>
        <w:tc>
          <w:tcPr>
            <w:tcW w:type="dxa" w:w="12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T1053.005</w:t>
            </w:r>
          </w:p>
        </w:tc>
        <w:tc>
          <w:tcPr>
            <w:tcW w:type="dxa" w:w="1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Persistence</w:t>
            </w:r>
          </w:p>
        </w:tc>
        <w:tc>
          <w:tcPr>
            <w:tcW w:type="dxa" w:w="7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Med</w:t>
            </w:r>
          </w:p>
        </w:tc>
        <w:tc>
          <w:tcPr>
            <w:tcW w:type="dxa" w:w="21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ART T1053.005-2</w:t>
            </w:r>
          </w:p>
        </w:tc>
      </w:tr>
      <w:tr>
        <w:tc>
          <w:tcPr>
            <w:tcW w:type="dxa" w:w="4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6</w:t>
            </w:r>
          </w:p>
        </w:tc>
        <w:tc>
          <w:tcPr>
            <w:tcW w:type="dxa" w:w="2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Process Injection (RWX DLL)</w:t>
            </w:r>
          </w:p>
        </w:tc>
        <w:tc>
          <w:tcPr>
            <w:tcW w:type="dxa" w:w="1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T1055.001</w:t>
            </w:r>
          </w:p>
        </w:tc>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Defense Evasion</w:t>
            </w:r>
          </w:p>
        </w:tc>
        <w:tc>
          <w:tcPr>
            <w:tcW w:type="dxa" w:w="7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w:t>
            </w:r>
          </w:p>
        </w:tc>
        <w:tc>
          <w:tcPr>
            <w:tcW w:type="dxa" w:w="21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ART T1055-5</w:t>
            </w:r>
          </w:p>
        </w:tc>
      </w:tr>
      <w:tr>
        <w:tc>
          <w:tcPr>
            <w:tcW w:type="dxa" w:w="4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7</w:t>
            </w:r>
          </w:p>
        </w:tc>
        <w:tc>
          <w:tcPr>
            <w:tcW w:type="dxa" w:w="2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Download Cradle / Privilege Escalation</w:t>
            </w:r>
          </w:p>
        </w:tc>
        <w:tc>
          <w:tcPr>
            <w:tcW w:type="dxa" w:w="12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T1134.001</w:t>
            </w:r>
          </w:p>
        </w:tc>
        <w:tc>
          <w:tcPr>
            <w:tcW w:type="dxa" w:w="1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Privilege Escalation</w:t>
            </w:r>
          </w:p>
        </w:tc>
        <w:tc>
          <w:tcPr>
            <w:tcW w:type="dxa" w:w="7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c>
          <w:tcPr>
            <w:tcW w:type="dxa" w:w="21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ART T1134.001-2</w:t>
            </w:r>
          </w:p>
        </w:tc>
      </w:tr>
      <w:tr>
        <w:tc>
          <w:tcPr>
            <w:tcW w:type="dxa" w:w="4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8</w:t>
            </w:r>
          </w:p>
        </w:tc>
        <w:tc>
          <w:tcPr>
            <w:tcW w:type="dxa" w:w="2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DNS Exfiltration via DoH</w:t>
            </w:r>
          </w:p>
        </w:tc>
        <w:tc>
          <w:tcPr>
            <w:tcW w:type="dxa" w:w="1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T1048.003</w:t>
            </w:r>
          </w:p>
        </w:tc>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Exfiltration</w:t>
            </w:r>
          </w:p>
        </w:tc>
        <w:tc>
          <w:tcPr>
            <w:tcW w:type="dxa" w:w="7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c>
          <w:tcPr>
            <w:tcW w:type="dxa" w:w="21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ART T1048-3</w:t>
            </w:r>
          </w:p>
        </w:tc>
      </w:tr>
      <w:tr>
        <w:tc>
          <w:tcPr>
            <w:tcW w:type="dxa" w:w="4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9</w:t>
            </w:r>
          </w:p>
        </w:tc>
        <w:tc>
          <w:tcPr>
            <w:tcW w:type="dxa" w:w="2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LOLBin Abuse via Rundll32</w:t>
            </w:r>
          </w:p>
        </w:tc>
        <w:tc>
          <w:tcPr>
            <w:tcW w:type="dxa" w:w="12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T1218.011</w:t>
            </w:r>
          </w:p>
        </w:tc>
        <w:tc>
          <w:tcPr>
            <w:tcW w:type="dxa" w:w="1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Defense Evasion</w:t>
            </w:r>
          </w:p>
        </w:tc>
        <w:tc>
          <w:tcPr>
            <w:tcW w:type="dxa" w:w="7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Med</w:t>
            </w:r>
          </w:p>
        </w:tc>
        <w:tc>
          <w:tcPr>
            <w:tcW w:type="dxa" w:w="21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ART T1218.011-9</w:t>
            </w:r>
          </w:p>
        </w:tc>
      </w:tr>
    </w:tbl>
    <w:p>
      <w:pPr>
        <w:spacing w:after="160"/>
      </w:pPr>
      <w:r>
        <w:t xml:space="preserve"/>
      </w:r>
    </w:p>
    <w:p>
      <w:pPr>
        <w:pStyle w:val="Heading1"/>
      </w:pPr>
      <w:r>
        <w:t xml:space="preserve">5. Coverage Heat Map</w:t>
      </w:r>
    </w:p>
    <w:p>
      <w:pPr>
        <w:spacing w:after="160"/>
      </w:pPr>
      <w:r>
        <w:rPr>
          <w:rFonts w:ascii="Calibri" w:cs="Calibri" w:eastAsia="Calibri" w:hAnsi="Calibri"/>
          <w:sz w:val="22"/>
          <w:szCs w:val="22"/>
        </w:rPr>
        <w:t xml:space="preserve">The following heat map was generated using MITRE ATT&amp;CK Navigator (v5.3.2, ATT&amp;CK v19). Green cells = built and tested detections. Yellow cells = planned next-priority detections. Grey = no coverage.</w:t>
      </w:r>
    </w:p>
    <w:p>
      <w:pPr>
        <w:spacing w:after="160"/>
      </w:pPr>
      <w:r>
        <w:t xml:space="preserve"/>
      </w:r>
    </w:p>
    <w:p>
      <w:pPr>
        <w:spacing w:after="200"/>
        <w:jc w:val="center"/>
      </w:pPr>
      <w:r>
        <w:drawing>
          <wp:inline distT="0" distB="0" distL="0" distR="0">
            <wp:extent cx="647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2667000"/>
                    </a:xfrm>
                    <a:prstGeom prst="rect">
                      <a:avLst/>
                    </a:prstGeom>
                  </pic:spPr>
                </pic:pic>
              </a:graphicData>
            </a:graphic>
          </wp:inline>
        </w:drawing>
      </w:r>
    </w:p>
    <w:p>
      <w:pPr>
        <w:spacing w:after="160"/>
      </w:pPr>
      <w:r>
        <w:t xml:space="preserve"/>
      </w:r>
    </w:p>
    <w:p>
      <w:pPr>
        <w:pStyle w:val="Heading1"/>
      </w:pPr>
      <w:r>
        <w:t xml:space="preserve">6. Coverage Gaps Analysis</w:t>
      </w:r>
    </w:p>
    <w:p>
      <w:pPr>
        <w:pStyle w:val="Heading2"/>
      </w:pPr>
      <w:r>
        <w:t xml:space="preserve">6.1 Tactics with Zero Coverage</w:t>
      </w:r>
    </w:p>
    <w:p>
      <w:pPr>
        <w:spacing w:after="160"/>
      </w:pPr>
      <w:r>
        <w:rPr>
          <w:rFonts w:ascii="Calibri" w:cs="Calibri" w:eastAsia="Calibri" w:hAnsi="Calibri"/>
          <w:sz w:val="22"/>
          <w:szCs w:val="22"/>
        </w:rPr>
        <w:t xml:space="preserve">The following five tactics have no built detections in the current lab environment. This is not a random gap — each has a specific, documented reason:</w:t>
      </w:r>
    </w:p>
    <w:p>
      <w:pPr>
        <w:pStyle w:val="Heading3"/>
      </w:pPr>
      <w:r>
        <w:t xml:space="preserve">Discovery (TA0007)</w:t>
      </w:r>
    </w:p>
    <w:p>
      <w:pPr>
        <w:spacing w:after="160"/>
      </w:pPr>
      <w:r>
        <w:rPr>
          <w:rFonts w:ascii="Calibri" w:cs="Calibri" w:eastAsia="Calibri" w:hAnsi="Calibri"/>
          <w:sz w:val="22"/>
          <w:szCs w:val="22"/>
        </w:rPr>
        <w:t xml:space="preserve">Discovery techniques (host/network enumeration, system information gathering) generate enormous volume in a live environment since many legitimate tools perform similar actions. Detection requires behavioral baselining — knowing what's normal for a given host before flagging deviations — which is impractical in a single-host lab with no business-as-usual baseline. This is a deliberate scoping decision, not an oversight.</w:t>
      </w:r>
    </w:p>
    <w:p>
      <w:pPr>
        <w:pStyle w:val="Heading3"/>
      </w:pPr>
      <w:r>
        <w:t xml:space="preserve">Collection (TA0009)</w:t>
      </w:r>
    </w:p>
    <w:p>
      <w:pPr>
        <w:spacing w:after="160"/>
      </w:pPr>
      <w:r>
        <w:rPr>
          <w:rFonts w:ascii="Calibri" w:cs="Calibri" w:eastAsia="Calibri" w:hAnsi="Calibri"/>
          <w:sz w:val="22"/>
          <w:szCs w:val="22"/>
        </w:rPr>
        <w:t xml:space="preserve">Collection techniques (clipboard capture, screen capture, keylogging, email collection) generally require EDR-level telemetry or specialized Sysmon configuration beyond what the SwiftOnSecurity base config provides. The current Sysmon deployment would not reliably capture these without additional custom rules. Adding these is a natural future expansion.</w:t>
      </w:r>
    </w:p>
    <w:p>
      <w:pPr>
        <w:pStyle w:val="Heading3"/>
      </w:pPr>
      <w:r>
        <w:t xml:space="preserve">Impact (TA0040)</w:t>
      </w:r>
    </w:p>
    <w:p>
      <w:pPr>
        <w:spacing w:after="160"/>
      </w:pPr>
      <w:r>
        <w:rPr>
          <w:rFonts w:ascii="Calibri" w:cs="Calibri" w:eastAsia="Calibri" w:hAnsi="Calibri"/>
          <w:sz w:val="22"/>
          <w:szCs w:val="22"/>
        </w:rPr>
        <w:t xml:space="preserve">Impact techniques (ransomware encryption, data destruction, service disruption) are the end-stage of an attack. In a well-designed SOC, earlier-stage detections (execution, persistence, lateral movement) should catch the attacker before they reach this stage. The absence of direct Impact detections is a defensible architectural choice when earlier-tactic detections are in place — though volumetric anomaly detection on disk write rates would be a practical Impact detection addition.</w:t>
      </w:r>
    </w:p>
    <w:p>
      <w:pPr>
        <w:pStyle w:val="Heading3"/>
      </w:pPr>
      <w:r>
        <w:t xml:space="preserve">Command and Control (TA0011)</w:t>
      </w:r>
    </w:p>
    <w:p>
      <w:pPr>
        <w:spacing w:after="160"/>
      </w:pPr>
      <w:r>
        <w:rPr>
          <w:rFonts w:ascii="Calibri" w:cs="Calibri" w:eastAsia="Calibri" w:hAnsi="Calibri"/>
          <w:sz w:val="22"/>
          <w:szCs w:val="22"/>
        </w:rPr>
        <w:t xml:space="preserve">C2 detection in this lab is partially addressed by the malicious User-Agent detection (Detection 9 of the original set) and the DNS exfiltration detection (Detection 8). However, broader C2 detection requires network-layer telemetry (proxy/firewall logs, NetFlow) that the current Sysmon-only pipeline does not provide. T1105 (Ingress Tool Transfer) has been prioritized as the most accessible C2-adjacent detection using existing endpoint telemetry.</w:t>
      </w:r>
    </w:p>
    <w:p>
      <w:pPr>
        <w:pStyle w:val="Heading3"/>
      </w:pPr>
      <w:r>
        <w:t xml:space="preserve">Initial Access (TA0001)</w:t>
      </w:r>
    </w:p>
    <w:p>
      <w:pPr>
        <w:spacing w:after="160"/>
      </w:pPr>
      <w:r>
        <w:rPr>
          <w:rFonts w:ascii="Calibri" w:cs="Calibri" w:eastAsia="Calibri" w:hAnsi="Calibri"/>
          <w:sz w:val="22"/>
          <w:szCs w:val="22"/>
        </w:rPr>
        <w:t xml:space="preserve">Initial access techniques typically require perimeter/email security telemetry (email gateway logs, web proxy logs) that the current lab does not ingest. T1566.001 (Spearphishing Attachment) has been prioritized as the most accessible using Sysmon parent-process telemetry from an email client spawning a child process.</w:t>
      </w:r>
    </w:p>
    <w:p>
      <w:pPr>
        <w:pStyle w:val="Heading2"/>
      </w:pPr>
      <w:r>
        <w:t xml:space="preserve">6.2 Notable Technique Gaps Within Covered Tactics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800"/>
        <w:gridCol w:w="2600"/>
        <w:gridCol w:w="1200"/>
      </w:tblGrid>
      <w:tr>
        <w:tc>
          <w:tcPr>
            <w:tcW w:type="dxa" w:w="24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Technique</w:t>
            </w:r>
          </w:p>
        </w:tc>
        <w:tc>
          <w:tcPr>
            <w:tcW w:type="dxa" w:w="10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18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Tactic</w:t>
            </w:r>
          </w:p>
        </w:tc>
        <w:tc>
          <w:tcPr>
            <w:tcW w:type="dxa" w:w="26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Why not yet built</w:t>
            </w:r>
          </w:p>
        </w:tc>
        <w:tc>
          <w:tcPr>
            <w:tcW w:type="dxa" w:w="12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Difficulty to add</w:t>
            </w:r>
          </w:p>
        </w:tc>
      </w:tr>
      <w:tr>
        <w:tc>
          <w:tcPr>
            <w:tcW w:type="dxa" w:w="24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PowerShell Empire/Cobalt Strike beacon</w:t>
            </w:r>
          </w:p>
        </w:tc>
        <w:tc>
          <w:tcPr>
            <w:tcW w:type="dxa" w:w="1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T1071.001</w:t>
            </w:r>
          </w:p>
        </w:tc>
        <w:tc>
          <w:tcPr>
            <w:tcW w:type="dxa" w:w="1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C2</w:t>
            </w:r>
          </w:p>
        </w:tc>
        <w:tc>
          <w:tcPr>
            <w:tcW w:type="dxa" w:w="26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Requires live C2 infrastructure</w:t>
            </w:r>
          </w:p>
        </w:tc>
        <w:tc>
          <w:tcPr>
            <w:tcW w:type="dxa" w:w="12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r>
      <w:tr>
        <w:tc>
          <w:tcPr>
            <w:tcW w:type="dxa" w:w="24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WMI-based lateral movement</w:t>
            </w:r>
          </w:p>
        </w:tc>
        <w:tc>
          <w:tcPr>
            <w:tcW w:type="dxa" w:w="1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T1021.003</w:t>
            </w:r>
          </w:p>
        </w:tc>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Lateral Movement</w:t>
            </w:r>
          </w:p>
        </w:tc>
        <w:tc>
          <w:tcPr>
            <w:tcW w:type="dxa" w:w="26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Requires second VM and WMI audit logging</w:t>
            </w:r>
          </w:p>
        </w:tc>
        <w:tc>
          <w:tcPr>
            <w:tcW w:type="dxa" w:w="1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w:t>
            </w:r>
          </w:p>
        </w:tc>
      </w:tr>
      <w:tr>
        <w:tc>
          <w:tcPr>
            <w:tcW w:type="dxa" w:w="24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Pass-the-Hash</w:t>
            </w:r>
          </w:p>
        </w:tc>
        <w:tc>
          <w:tcPr>
            <w:tcW w:type="dxa" w:w="1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T1550.002</w:t>
            </w:r>
          </w:p>
        </w:tc>
        <w:tc>
          <w:tcPr>
            <w:tcW w:type="dxa" w:w="1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Lateral Movement</w:t>
            </w:r>
          </w:p>
        </w:tc>
        <w:tc>
          <w:tcPr>
            <w:tcW w:type="dxa" w:w="26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Requires domain environment</w:t>
            </w:r>
          </w:p>
        </w:tc>
        <w:tc>
          <w:tcPr>
            <w:tcW w:type="dxa" w:w="12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r>
      <w:tr>
        <w:tc>
          <w:tcPr>
            <w:tcW w:type="dxa" w:w="24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DLL Side-Loading</w:t>
            </w:r>
          </w:p>
        </w:tc>
        <w:tc>
          <w:tcPr>
            <w:tcW w:type="dxa" w:w="1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T1574.002</w:t>
            </w:r>
          </w:p>
        </w:tc>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Defense Evasion</w:t>
            </w:r>
          </w:p>
        </w:tc>
        <w:tc>
          <w:tcPr>
            <w:tcW w:type="dxa" w:w="26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Complex setup, ART prereqs not met</w:t>
            </w:r>
          </w:p>
        </w:tc>
        <w:tc>
          <w:tcPr>
            <w:tcW w:type="dxa" w:w="1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w:t>
            </w:r>
          </w:p>
        </w:tc>
      </w:tr>
      <w:tr>
        <w:tc>
          <w:tcPr>
            <w:tcW w:type="dxa" w:w="24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Living-off-the-Land Binary abuse (other)</w:t>
            </w:r>
          </w:p>
        </w:tc>
        <w:tc>
          <w:tcPr>
            <w:tcW w:type="dxa" w:w="1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T1218.*</w:t>
            </w:r>
          </w:p>
        </w:tc>
        <w:tc>
          <w:tcPr>
            <w:tcW w:type="dxa" w:w="1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Defense Evasion</w:t>
            </w:r>
          </w:p>
        </w:tc>
        <w:tc>
          <w:tcPr>
            <w:tcW w:type="dxa" w:w="26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Partial — T1218.011 built, others not tested</w:t>
            </w:r>
          </w:p>
        </w:tc>
        <w:tc>
          <w:tcPr>
            <w:tcW w:type="dxa" w:w="12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Low</w:t>
            </w:r>
          </w:p>
        </w:tc>
      </w:tr>
    </w:tbl>
    <w:p>
      <w:pPr>
        <w:spacing w:after="160"/>
      </w:pPr>
      <w:r>
        <w:t xml:space="preserve"/>
      </w:r>
    </w:p>
    <w:p>
      <w:pPr>
        <w:pStyle w:val="Heading1"/>
      </w:pPr>
      <w:r>
        <w:t xml:space="preserve">7. Real Engineering Findings From Building This Lab</w:t>
      </w:r>
    </w:p>
    <w:p>
      <w:pPr>
        <w:spacing w:after="160"/>
      </w:pPr>
      <w:r>
        <w:rPr>
          <w:rFonts w:ascii="Calibri" w:cs="Calibri" w:eastAsia="Calibri" w:hAnsi="Calibri"/>
          <w:sz w:val="22"/>
          <w:szCs w:val="22"/>
        </w:rPr>
        <w:t xml:space="preserve">Several genuine, non-obvious technical findings emerged during the build that are documented here as part of the gap analysis, since they directly affect what can and cannot be detected:</w:t>
      </w:r>
    </w:p>
    <w:p>
      <w:pPr>
        <w:pStyle w:val="ListParagraph"/>
        <w:numPr>
          <w:ilvl w:val="0"/>
          <w:numId w:val="2"/>
        </w:numPr>
        <w:spacing w:after="80"/>
      </w:pPr>
      <w:r>
        <w:rPr>
          <w:rFonts w:ascii="Calibri" w:cs="Calibri" w:eastAsia="Calibri" w:hAnsi="Calibri"/>
          <w:sz w:val="22"/>
          <w:szCs w:val="22"/>
        </w:rPr>
        <w:t xml:space="preserve">Security log Event 4698 (Scheduled Task Created) and Event 5140 (Network Share Accessed) are NOT logged by default on a fresh Windows installation. Both required explicit Advanced Audit Policy configuration to enable. Any SOC deploying these detections without verifying audit policy first will have a silent gap — the attacks succeed but generate no telemetry.</w:t>
      </w:r>
    </w:p>
    <w:p>
      <w:pPr>
        <w:pStyle w:val="ListParagraph"/>
        <w:numPr>
          <w:ilvl w:val="0"/>
          <w:numId w:val="2"/>
        </w:numPr>
        <w:spacing w:after="80"/>
      </w:pPr>
      <w:r>
        <w:rPr>
          <w:rFonts w:ascii="Calibri" w:cs="Calibri" w:eastAsia="Calibri" w:hAnsi="Calibri"/>
          <w:sz w:val="22"/>
          <w:szCs w:val="22"/>
        </w:rPr>
        <w:t xml:space="preserve">Modern Windows 11 builds block the most common process injection technique (CreateRemoteThread via VirtualAllocEx) even with full Administrator privileges and Defender completely disabled. This was discovered during Atomic Red Team T1055 testing and documents a genuine OS-level resistance to the most-signatured injection technique. A less common RWX DLL injection variant was required to generate telemetry.</w:t>
      </w:r>
    </w:p>
    <w:p>
      <w:pPr>
        <w:pStyle w:val="ListParagraph"/>
        <w:numPr>
          <w:ilvl w:val="0"/>
          <w:numId w:val="2"/>
        </w:numPr>
        <w:spacing w:after="80"/>
      </w:pPr>
      <w:r>
        <w:rPr>
          <w:rFonts w:ascii="Calibri" w:cs="Calibri" w:eastAsia="Calibri" w:hAnsi="Calibri"/>
          <w:sz w:val="22"/>
          <w:szCs w:val="22"/>
        </w:rPr>
        <w:t xml:space="preserve">Sysmon's XML-rendered log format (renderXml=true) does not reliably expose EventCode as a directly queryable Splunk field after processing by the Sysmon Technology Add-on. All detections in this lab use raw-text regex extraction against the _raw field rather than field-based filters. This is a real operational consideration for anyone building Sysmon-based detections in Splunk.</w:t>
      </w:r>
    </w:p>
    <w:p>
      <w:pPr>
        <w:pStyle w:val="ListParagraph"/>
        <w:numPr>
          <w:ilvl w:val="0"/>
          <w:numId w:val="2"/>
        </w:numPr>
        <w:spacing w:after="80"/>
      </w:pPr>
      <w:r>
        <w:rPr>
          <w:rFonts w:ascii="Calibri" w:cs="Calibri" w:eastAsia="Calibri" w:hAnsi="Calibri"/>
          <w:sz w:val="22"/>
          <w:szCs w:val="22"/>
        </w:rPr>
        <w:t xml:space="preserve">Windows applies UAC remote restrictions to local accounts connecting over the network by default. LocalAccountTokenFilterPolicy must be set to 1 for local administrator accounts to retain their privileges when accessing admin shares remotely — a configuration change that is itself a security risk and worth monitoring.</w:t>
      </w:r>
    </w:p>
    <w:p>
      <w:pPr>
        <w:spacing w:after="160"/>
      </w:pPr>
      <w:r>
        <w:t xml:space="preserve"/>
      </w:r>
    </w:p>
    <w:p>
      <w:r>
        <w:br w:type="page"/>
      </w:r>
    </w:p>
    <w:p>
      <w:pPr>
        <w:spacing w:after="80"/>
        <w:jc w:val="center"/>
      </w:pPr>
      <w:r>
        <w:rPr>
          <w:rFonts w:ascii="Calibri" w:cs="Calibri" w:eastAsia="Calibri" w:hAnsi="Calibri"/>
          <w:b/>
          <w:bCs/>
          <w:color w:val="1F4E5F"/>
          <w:sz w:val="44"/>
          <w:szCs w:val="44"/>
        </w:rPr>
        <w:t xml:space="preserve">DETECTION PRIORITIZATION FRAMEWORK</w:t>
      </w:r>
    </w:p>
    <w:p>
      <w:pPr>
        <w:spacing w:after="80"/>
        <w:jc w:val="center"/>
      </w:pPr>
      <w:r>
        <w:rPr>
          <w:rFonts w:ascii="Calibri" w:cs="Calibri" w:eastAsia="Calibri" w:hAnsi="Calibri"/>
          <w:i/>
          <w:iCs/>
          <w:sz w:val="30"/>
          <w:szCs w:val="30"/>
        </w:rPr>
        <w:t xml:space="preserve">Which Techniques to Detect First — and Why</w:t>
      </w:r>
    </w:p>
    <w:p>
      <w:pPr>
        <w:spacing w:after="360"/>
        <w:jc w:val="center"/>
      </w:pPr>
      <w:r>
        <w:rPr>
          <w:rFonts w:ascii="Calibri" w:cs="Calibri" w:eastAsia="Calibri" w:hAnsi="Calibri"/>
          <w:sz w:val="24"/>
          <w:szCs w:val="24"/>
        </w:rPr>
        <w:t xml:space="preserve">Home SOC Lab — Splunk Edition</w:t>
      </w:r>
    </w:p>
    <w:p>
      <w:pPr>
        <w:pStyle w:val="Heading1"/>
      </w:pPr>
      <w:r>
        <w:t xml:space="preserve">1. Prioritization Methodology</w:t>
      </w:r>
    </w:p>
    <w:p>
      <w:pPr>
        <w:spacing w:after="160"/>
      </w:pPr>
      <w:r>
        <w:rPr>
          <w:rFonts w:ascii="Calibri" w:cs="Calibri" w:eastAsia="Calibri" w:hAnsi="Calibri"/>
          <w:sz w:val="22"/>
          <w:szCs w:val="22"/>
        </w:rPr>
        <w:t xml:space="preserve">Detection engineering is fundamentally a resource-allocation problem: no SOC can detect everything, so the question is always “which gaps matter most?” This framework scores each planned detection on three factors:</w:t>
      </w:r>
    </w:p>
    <w:p>
      <w:pPr>
        <w:pStyle w:val="ListParagraph"/>
        <w:numPr>
          <w:ilvl w:val="0"/>
          <w:numId w:val="2"/>
        </w:numPr>
        <w:spacing w:after="80"/>
      </w:pPr>
      <w:r>
        <w:rPr>
          <w:rFonts w:ascii="Calibri" w:cs="Calibri" w:eastAsia="Calibri" w:hAnsi="Calibri"/>
          <w:sz w:val="22"/>
          <w:szCs w:val="22"/>
        </w:rPr>
        <w:t xml:space="preserve">Attacker frequency: How commonly do real threat actors use this technique? (Based on MITRE ATT&amp;CK usage data and threat intelligence reporting)</w:t>
      </w:r>
    </w:p>
    <w:p>
      <w:pPr>
        <w:pStyle w:val="ListParagraph"/>
        <w:numPr>
          <w:ilvl w:val="0"/>
          <w:numId w:val="2"/>
        </w:numPr>
        <w:spacing w:after="80"/>
      </w:pPr>
      <w:r>
        <w:rPr>
          <w:rFonts w:ascii="Calibri" w:cs="Calibri" w:eastAsia="Calibri" w:hAnsi="Calibri"/>
          <w:sz w:val="22"/>
          <w:szCs w:val="22"/>
        </w:rPr>
        <w:t xml:space="preserve">Detection feasibility with existing telemetry: Can we detect this with the Sysmon + Security log pipeline already in place, or would it require new data sources?</w:t>
      </w:r>
    </w:p>
    <w:p>
      <w:pPr>
        <w:pStyle w:val="ListParagraph"/>
        <w:numPr>
          <w:ilvl w:val="0"/>
          <w:numId w:val="2"/>
        </w:numPr>
        <w:spacing w:after="80"/>
      </w:pPr>
      <w:r>
        <w:rPr>
          <w:rFonts w:ascii="Calibri" w:cs="Calibri" w:eastAsia="Calibri" w:hAnsi="Calibri"/>
          <w:sz w:val="22"/>
          <w:szCs w:val="22"/>
        </w:rPr>
        <w:t xml:space="preserve">Impact of missing it: What does an attacker gain if this technique goes undetected? How far does it advance the kill chain?</w:t>
      </w:r>
    </w:p>
    <w:p>
      <w:pPr>
        <w:spacing w:after="160"/>
      </w:pPr>
      <w:r>
        <w:rPr>
          <w:rFonts w:ascii="Calibri" w:cs="Calibri" w:eastAsia="Calibri" w:hAnsi="Calibri"/>
          <w:sz w:val="22"/>
          <w:szCs w:val="22"/>
        </w:rPr>
        <w:t xml:space="preserve">Each factor is scored 1–3 (3 = highest priority). Total score out of 9 determines priority order.</w:t>
      </w:r>
    </w:p>
    <w:p>
      <w:pPr>
        <w:spacing w:after="160"/>
      </w:pPr>
      <w:r>
        <w:t xml:space="preserve"/>
      </w:r>
    </w:p>
    <w:p>
      <w:pPr>
        <w:pStyle w:val="Heading1"/>
      </w:pPr>
      <w:r>
        <w:t xml:space="preserve">2. Planned Detections — Priority Scored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600"/>
        <w:gridCol w:w="1000"/>
        <w:gridCol w:w="700"/>
        <w:gridCol w:w="700"/>
        <w:gridCol w:w="600"/>
      </w:tblGrid>
      <w:tr>
        <w:tc>
          <w:tcPr>
            <w:tcW w:type="dxa" w:w="24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Technique</w:t>
            </w:r>
          </w:p>
        </w:tc>
        <w:tc>
          <w:tcPr>
            <w:tcW w:type="dxa" w:w="10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6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Freq</w:t>
            </w:r>
          </w:p>
        </w:tc>
        <w:tc>
          <w:tcPr>
            <w:tcW w:type="dxa" w:w="10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Feasibility</w:t>
            </w:r>
          </w:p>
        </w:tc>
        <w:tc>
          <w:tcPr>
            <w:tcW w:type="dxa" w:w="7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Impact</w:t>
            </w:r>
          </w:p>
        </w:tc>
        <w:tc>
          <w:tcPr>
            <w:tcW w:type="dxa" w:w="7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Total</w:t>
            </w:r>
          </w:p>
        </w:tc>
        <w:tc>
          <w:tcPr>
            <w:tcW w:type="dxa" w:w="6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24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Brute Force: Password Guessing</w:t>
            </w:r>
          </w:p>
        </w:tc>
        <w:tc>
          <w:tcPr>
            <w:tcW w:type="dxa" w:w="1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T1110.001</w:t>
            </w:r>
          </w:p>
        </w:tc>
        <w:tc>
          <w:tcPr>
            <w:tcW w:type="dxa" w:w="6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1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7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7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9</w:t>
            </w:r>
          </w:p>
        </w:tc>
        <w:tc>
          <w:tcPr>
            <w:tcW w:type="dxa" w:w="6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P1</w:t>
            </w:r>
          </w:p>
        </w:tc>
      </w:tr>
      <w:tr>
        <w:tc>
          <w:tcPr>
            <w:tcW w:type="dxa" w:w="24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Impair Defenses: Disable Tools</w:t>
            </w:r>
          </w:p>
        </w:tc>
        <w:tc>
          <w:tcPr>
            <w:tcW w:type="dxa" w:w="1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T1562.001</w:t>
            </w:r>
          </w:p>
        </w:tc>
        <w:tc>
          <w:tcPr>
            <w:tcW w:type="dxa" w:w="6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1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7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7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9</w:t>
            </w:r>
          </w:p>
        </w:tc>
        <w:tc>
          <w:tcPr>
            <w:tcW w:type="dxa" w:w="6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P1</w:t>
            </w:r>
          </w:p>
        </w:tc>
      </w:tr>
      <w:tr>
        <w:tc>
          <w:tcPr>
            <w:tcW w:type="dxa" w:w="24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Clear Windows Event Logs</w:t>
            </w:r>
          </w:p>
        </w:tc>
        <w:tc>
          <w:tcPr>
            <w:tcW w:type="dxa" w:w="1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T1685.005</w:t>
            </w:r>
          </w:p>
        </w:tc>
        <w:tc>
          <w:tcPr>
            <w:tcW w:type="dxa" w:w="6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1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7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7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8</w:t>
            </w:r>
          </w:p>
        </w:tc>
        <w:tc>
          <w:tcPr>
            <w:tcW w:type="dxa" w:w="6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P2</w:t>
            </w:r>
          </w:p>
        </w:tc>
      </w:tr>
      <w:tr>
        <w:tc>
          <w:tcPr>
            <w:tcW w:type="dxa" w:w="24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Ingress Tool Transfer</w:t>
            </w:r>
          </w:p>
        </w:tc>
        <w:tc>
          <w:tcPr>
            <w:tcW w:type="dxa" w:w="1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T1105</w:t>
            </w:r>
          </w:p>
        </w:tc>
        <w:tc>
          <w:tcPr>
            <w:tcW w:type="dxa" w:w="6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1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7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7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8</w:t>
            </w:r>
          </w:p>
        </w:tc>
        <w:tc>
          <w:tcPr>
            <w:tcW w:type="dxa" w:w="6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P2</w:t>
            </w:r>
          </w:p>
        </w:tc>
      </w:tr>
      <w:tr>
        <w:tc>
          <w:tcPr>
            <w:tcW w:type="dxa" w:w="24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Valid Accounts: Local Accounts</w:t>
            </w:r>
          </w:p>
        </w:tc>
        <w:tc>
          <w:tcPr>
            <w:tcW w:type="dxa" w:w="1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T1078.003</w:t>
            </w:r>
          </w:p>
        </w:tc>
        <w:tc>
          <w:tcPr>
            <w:tcW w:type="dxa" w:w="6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1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7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7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8</w:t>
            </w:r>
          </w:p>
        </w:tc>
        <w:tc>
          <w:tcPr>
            <w:tcW w:type="dxa" w:w="6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P2</w:t>
            </w:r>
          </w:p>
        </w:tc>
      </w:tr>
      <w:tr>
        <w:tc>
          <w:tcPr>
            <w:tcW w:type="dxa" w:w="24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SAM Database Dumping</w:t>
            </w:r>
          </w:p>
        </w:tc>
        <w:tc>
          <w:tcPr>
            <w:tcW w:type="dxa" w:w="1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T1003.002</w:t>
            </w:r>
          </w:p>
        </w:tc>
        <w:tc>
          <w:tcPr>
            <w:tcW w:type="dxa" w:w="6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1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7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7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7</w:t>
            </w:r>
          </w:p>
        </w:tc>
        <w:tc>
          <w:tcPr>
            <w:tcW w:type="dxa" w:w="6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P3</w:t>
            </w:r>
          </w:p>
        </w:tc>
      </w:tr>
      <w:tr>
        <w:tc>
          <w:tcPr>
            <w:tcW w:type="dxa" w:w="24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Spearphishing Attachment</w:t>
            </w:r>
          </w:p>
        </w:tc>
        <w:tc>
          <w:tcPr>
            <w:tcW w:type="dxa" w:w="1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T1566.001</w:t>
            </w:r>
          </w:p>
        </w:tc>
        <w:tc>
          <w:tcPr>
            <w:tcW w:type="dxa" w:w="6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1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7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7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7</w:t>
            </w:r>
          </w:p>
        </w:tc>
        <w:tc>
          <w:tcPr>
            <w:tcW w:type="dxa" w:w="6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P3</w:t>
            </w:r>
          </w:p>
        </w:tc>
      </w:tr>
      <w:tr>
        <w:tc>
          <w:tcPr>
            <w:tcW w:type="dxa" w:w="24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Command Obfuscation</w:t>
            </w:r>
          </w:p>
        </w:tc>
        <w:tc>
          <w:tcPr>
            <w:tcW w:type="dxa" w:w="1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T1027.010</w:t>
            </w:r>
          </w:p>
        </w:tc>
        <w:tc>
          <w:tcPr>
            <w:tcW w:type="dxa" w:w="6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1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7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7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7</w:t>
            </w:r>
          </w:p>
        </w:tc>
        <w:tc>
          <w:tcPr>
            <w:tcW w:type="dxa" w:w="6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P3</w:t>
            </w:r>
          </w:p>
        </w:tc>
      </w:tr>
    </w:tbl>
    <w:p>
      <w:pPr>
        <w:spacing w:after="160"/>
      </w:pPr>
      <w:r>
        <w:t xml:space="preserve"/>
      </w:r>
    </w:p>
    <w:p>
      <w:pPr>
        <w:pStyle w:val="Heading1"/>
      </w:pPr>
      <w:r>
        <w:t xml:space="preserve">3. Priority 1 Detections — Build These First</w:t>
      </w:r>
    </w:p>
    <w:p>
      <w:pPr>
        <w:pStyle w:val="Heading2"/>
      </w:pPr>
      <w:r>
        <w:t xml:space="preserve">T1110.001 — Brute Force: Password Guessing (Score 9/9)</w:t>
      </w:r>
    </w:p>
    <w:p>
      <w:pPr>
        <w:spacing w:after="160"/>
      </w:pPr>
      <w:r>
        <w:rPr>
          <w:rFonts w:ascii="Calibri" w:cs="Calibri" w:eastAsia="Calibri" w:hAnsi="Calibri"/>
          <w:sz w:val="22"/>
          <w:szCs w:val="22"/>
        </w:rPr>
        <w:t xml:space="preserve">Why first: Password guessing is the most common initial access technique in real-world intrusions, requires zero malware, and is detectable with a simple SPL correlation against Security Event 4625 (failed logon) that this lab already ingests. It's the highest-value detection per hour of engineering effort available.</w:t>
      </w:r>
    </w:p>
    <w:p>
      <w:pPr>
        <w:spacing w:after="160"/>
      </w:pPr>
      <w:r>
        <w:rPr>
          <w:rFonts w:ascii="Calibri" w:cs="Calibri" w:eastAsia="Calibri" w:hAnsi="Calibri"/>
          <w:sz w:val="22"/>
          <w:szCs w:val="22"/>
        </w:rPr>
        <w:t xml:space="preserve">How to build it: Count failed logon events (4625) per source account per time window. Alert when count exceeds a threshold (e.g. 5 failures in 60 seconds against the same account). Correlate with a subsequent successful logon (4624) on the same account to catch successful brute-force completion.</w:t>
      </w:r>
    </w:p>
    <w:p>
      <w:pPr>
        <w:spacing w:after="160"/>
      </w:pPr>
      <w:r>
        <w:rPr>
          <w:rFonts w:ascii="Calibri" w:cs="Calibri" w:eastAsia="Calibri" w:hAnsi="Calibri"/>
          <w:sz w:val="22"/>
          <w:szCs w:val="22"/>
        </w:rPr>
        <w:t xml:space="preserve">Why it's missing from the current lab: No brute-force simulation tool was run during the initial build. Atomic Red Team has T1110 tests that can be run against the existing victim VM with no new infrastructure.</w:t>
      </w:r>
    </w:p>
    <w:p>
      <w:pPr>
        <w:pStyle w:val="Heading2"/>
      </w:pPr>
      <w:r>
        <w:t xml:space="preserve">T1562.001 — Impair Defenses: Disable or Modify Tools (Score 9/9)</w:t>
      </w:r>
    </w:p>
    <w:p>
      <w:pPr>
        <w:spacing w:after="160"/>
      </w:pPr>
      <w:r>
        <w:rPr>
          <w:rFonts w:ascii="Calibri" w:cs="Calibri" w:eastAsia="Calibri" w:hAnsi="Calibri"/>
          <w:sz w:val="22"/>
          <w:szCs w:val="22"/>
        </w:rPr>
        <w:t xml:space="preserve">Why first: An attacker who can disable Sysmon, Windows Defender, or the Splunk forwarder becomes completely invisible in this lab. This is the single most critical gap from a lab-integrity standpoint — every other detection depends on these tools being active.</w:t>
      </w:r>
    </w:p>
    <w:p>
      <w:pPr>
        <w:spacing w:after="160"/>
      </w:pPr>
      <w:r>
        <w:rPr>
          <w:rFonts w:ascii="Calibri" w:cs="Calibri" w:eastAsia="Calibri" w:hAnsi="Calibri"/>
          <w:sz w:val="22"/>
          <w:szCs w:val="22"/>
        </w:rPr>
        <w:t xml:space="preserve">How to build it: Security Event 4719 (audit policy changed), Sysmon service stop events (System Event 7036 for SplunkForwarder or Sysmon service going to ‘stopped’ state), and registry modifications to Windows Defender’s policy keys. All detectable with existing telemetry.</w:t>
      </w:r>
    </w:p>
    <w:p>
      <w:pPr>
        <w:spacing w:after="160"/>
      </w:pPr>
      <w:r>
        <w:rPr>
          <w:rFonts w:ascii="Calibri" w:cs="Calibri" w:eastAsia="Calibri" w:hAnsi="Calibri"/>
          <w:sz w:val="22"/>
          <w:szCs w:val="22"/>
        </w:rPr>
        <w:t xml:space="preserve">Why it's missing: This gap was identified late in the build process after completing the primary detection set. It should be one of the first detections in any future iteration of this lab.</w:t>
      </w:r>
    </w:p>
    <w:p>
      <w:pPr>
        <w:pStyle w:val="Heading1"/>
      </w:pPr>
      <w:r>
        <w:t xml:space="preserve">4. Priority 2 Detections</w:t>
      </w:r>
    </w:p>
    <w:p>
      <w:pPr>
        <w:pStyle w:val="Heading2"/>
      </w:pPr>
      <w:r>
        <w:t xml:space="preserve">T1685.005 — Clear Windows Event Logs (Score 8/9)</w:t>
      </w:r>
    </w:p>
    <w:p>
      <w:pPr>
        <w:spacing w:after="160"/>
      </w:pPr>
      <w:r>
        <w:rPr>
          <w:rFonts w:ascii="Calibri" w:cs="Calibri" w:eastAsia="Calibri" w:hAnsi="Calibri"/>
          <w:sz w:val="22"/>
          <w:szCs w:val="22"/>
        </w:rPr>
        <w:t xml:space="preserve">Security Event 1102 fires every time the Security log is cleared, and System Event 104 fires for any other log. These are among the simplest, highest-confidence detections possible — there is almost no legitimate reason for a non-administrator to clear Windows event logs, and even administrative log clearing warrants investigation. Build time: less than 30 minutes with existing telemetry.</w:t>
      </w:r>
    </w:p>
    <w:p>
      <w:pPr>
        <w:pStyle w:val="Heading2"/>
      </w:pPr>
      <w:r>
        <w:t xml:space="preserve">T1105 — Ingress Tool Transfer (Score 8/9)</w:t>
      </w:r>
    </w:p>
    <w:p>
      <w:pPr>
        <w:spacing w:after="160"/>
      </w:pPr>
      <w:r>
        <w:rPr>
          <w:rFonts w:ascii="Calibri" w:cs="Calibri" w:eastAsia="Calibri" w:hAnsi="Calibri"/>
          <w:sz w:val="22"/>
          <w:szCs w:val="22"/>
        </w:rPr>
        <w:t xml:space="preserve">Detecting tool downloads to the endpoint (certutil, bitsadmin, PowerShell Invoke-WebRequest saving a file to disk) extends the existing Detection 7 (download cradle) logic to cover non-IEX delivery methods. Attackers who download tools rather than using fileless delivery leave a more durable artifact (a file on disk) that is easier to detect and respond to. Same Sysmon EventID 1 telemetry, broader command-line patterns.</w:t>
      </w:r>
    </w:p>
    <w:p>
      <w:pPr>
        <w:pStyle w:val="Heading2"/>
      </w:pPr>
      <w:r>
        <w:t xml:space="preserve">T1078.003 — Valid Accounts: Local Accounts (Score 8/9)</w:t>
      </w:r>
    </w:p>
    <w:p>
      <w:pPr>
        <w:spacing w:after="160"/>
      </w:pPr>
      <w:r>
        <w:rPr>
          <w:rFonts w:ascii="Calibri" w:cs="Calibri" w:eastAsia="Calibri" w:hAnsi="Calibri"/>
          <w:sz w:val="22"/>
          <w:szCs w:val="22"/>
        </w:rPr>
        <w:t xml:space="preserve">Directly motivated by Investigation 2: an attacker who compromises one machine with a shared local administrator account can reuse those credentials laterally across every machine with the same account. Detecting unusual logon patterns (Security Event 4624, Type 3 / network logon, from unexpected source addresses or at unusual hours) for local accounts would have flagged the lateral movement demonstrated in the lab earlier and with richer context than the share-access event alone.</w:t>
      </w:r>
    </w:p>
    <w:p>
      <w:pPr>
        <w:pStyle w:val="Heading1"/>
      </w:pPr>
      <w:r>
        <w:t xml:space="preserve">5. Priority 3 Detections</w:t>
      </w:r>
    </w:p>
    <w:p>
      <w:pPr>
        <w:pStyle w:val="Heading2"/>
      </w:pPr>
      <w:r>
        <w:t xml:space="preserve">T1003.002 — Security Account Manager (SAM) Dumping (Score 7/9)</w:t>
      </w:r>
    </w:p>
    <w:p>
      <w:pPr>
        <w:spacing w:after="160"/>
      </w:pPr>
      <w:r>
        <w:rPr>
          <w:rFonts w:ascii="Calibri" w:cs="Calibri" w:eastAsia="Calibri" w:hAnsi="Calibri"/>
          <w:sz w:val="22"/>
          <w:szCs w:val="22"/>
        </w:rPr>
        <w:t xml:space="preserve">A natural extension of Detection 2 (LSASS dumping): instead of memory, this technique targets the SAM database (HKLM\SAM) which stores local account password hashes. Detectable via Sysmon registry-access events. Lower priority than LSASS dumping because most credential theft in modern environments targets LSASS (which holds decryptable/plaintext credentials for active sessions) rather than SAM (which only holds local account NTLM hashes).</w:t>
      </w:r>
    </w:p>
    <w:p>
      <w:pPr>
        <w:pStyle w:val="Heading2"/>
      </w:pPr>
      <w:r>
        <w:t xml:space="preserve">T1566.001 — Spearphishing Attachment (Score 7/9)</w:t>
      </w:r>
    </w:p>
    <w:p>
      <w:pPr>
        <w:spacing w:after="160"/>
      </w:pPr>
      <w:r>
        <w:rPr>
          <w:rFonts w:ascii="Calibri" w:cs="Calibri" w:eastAsia="Calibri" w:hAnsi="Calibri"/>
          <w:sz w:val="22"/>
          <w:szCs w:val="22"/>
        </w:rPr>
        <w:t xml:space="preserve">Initial access detection is limited by telemetry: without an email gateway, the only way to detect phishing in this lab is to look for unusual child processes spawned by email client executables (Outlook, Thunderbird). This is detectable via Sysmon parent-process monitoring but has a moderate false-positive rate (email clients legitimately open many types of files). Requires careful allowlisting of known-safe attachments and parent-child combinations.</w:t>
      </w:r>
    </w:p>
    <w:p>
      <w:pPr>
        <w:pStyle w:val="Heading2"/>
      </w:pPr>
      <w:r>
        <w:t xml:space="preserve">T1027.010 — Command Obfuscation (Score 7/9)</w:t>
      </w:r>
    </w:p>
    <w:p>
      <w:pPr>
        <w:spacing w:after="160"/>
      </w:pPr>
      <w:r>
        <w:rPr>
          <w:rFonts w:ascii="Calibri" w:cs="Calibri" w:eastAsia="Calibri" w:hAnsi="Calibri"/>
          <w:sz w:val="22"/>
          <w:szCs w:val="22"/>
        </w:rPr>
        <w:t xml:space="preserve">Extends Detection 1 beyond encoded commands to cover character-substitution, string-concatenation, and other PowerShell obfuscation patterns. Lower priority than the P1/P2 items because Detection 1 already catches the most common obfuscation technique (-EncodedCommand), and more sophisticated obfuscation generally accompanies more sophisticated attackers who would also evade simpler regex-based detection. This detection benefits more from PowerShell Script Block Logging (Event 4104) than from process-creation command-line inspection alone.</w:t>
      </w:r>
    </w:p>
    <w:p>
      <w:pPr>
        <w:pStyle w:val="Heading1"/>
      </w:pPr>
      <w:r>
        <w:t xml:space="preserve">6. Detection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00"/>
        <w:gridCol w:w="2800"/>
      </w:tblGrid>
      <w:tr>
        <w:tc>
          <w:tcPr>
            <w:tcW w:type="dxa" w:w="20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2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Timeframe</w:t>
            </w:r>
          </w:p>
        </w:tc>
        <w:tc>
          <w:tcPr>
            <w:tcW w:type="dxa" w:w="30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Detections to Build</w:t>
            </w:r>
          </w:p>
        </w:tc>
        <w:tc>
          <w:tcPr>
            <w:tcW w:type="dxa" w:w="28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rFonts w:ascii="Calibri" w:cs="Calibri" w:eastAsia="Calibri" w:hAnsi="Calibri"/>
                <w:b/>
                <w:bCs/>
                <w:color w:val="FFFFFF"/>
                <w:sz w:val="20"/>
                <w:szCs w:val="20"/>
              </w:rPr>
              <w:t xml:space="preserve">New Telemetry Required?</w:t>
            </w:r>
          </w:p>
        </w:tc>
      </w:tr>
      <w:tr>
        <w:tc>
          <w:tcPr>
            <w:tcW w:type="dxa" w:w="2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Phase 2 — Complete gaps in covered tactics</w:t>
            </w:r>
          </w:p>
        </w:tc>
        <w:tc>
          <w:tcPr>
            <w:tcW w:type="dxa" w:w="12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Month 1</w:t>
            </w:r>
          </w:p>
        </w:tc>
        <w:tc>
          <w:tcPr>
            <w:tcW w:type="dxa" w:w="3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T1110.001, T1562.001, T1685.005, T1105</w:t>
            </w:r>
          </w:p>
        </w:tc>
        <w:tc>
          <w:tcPr>
            <w:tcW w:type="dxa" w:w="2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 — existing Security + Sysmon logs</w:t>
            </w:r>
          </w:p>
        </w:tc>
      </w:tr>
      <w:tr>
        <w:tc>
          <w:tcPr>
            <w:tcW w:type="dxa" w:w="2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Phase 3 — Expand lateral movement coverage</w:t>
            </w:r>
          </w:p>
        </w:tc>
        <w:tc>
          <w:tcPr>
            <w:tcW w:type="dxa" w:w="1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Month 2</w:t>
            </w:r>
          </w:p>
        </w:tc>
        <w:tc>
          <w:tcPr>
            <w:tcW w:type="dxa" w:w="3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T1078.003, T1003.002</w:t>
            </w:r>
          </w:p>
        </w:tc>
        <w:tc>
          <w:tcPr>
            <w:tcW w:type="dxa" w:w="2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 — existing Security log</w:t>
            </w:r>
          </w:p>
        </w:tc>
      </w:tr>
      <w:tr>
        <w:tc>
          <w:tcPr>
            <w:tcW w:type="dxa" w:w="2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Phase 4 — Add initial access + obfuscation</w:t>
            </w:r>
          </w:p>
        </w:tc>
        <w:tc>
          <w:tcPr>
            <w:tcW w:type="dxa" w:w="12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Month 3</w:t>
            </w:r>
          </w:p>
        </w:tc>
        <w:tc>
          <w:tcPr>
            <w:tcW w:type="dxa" w:w="30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T1566.001, T1027.010</w:t>
            </w:r>
          </w:p>
        </w:tc>
        <w:tc>
          <w:tcPr>
            <w:tcW w:type="dxa" w:w="2800"/>
            <w:tcBorders>
              <w:top w:val="single" w:color="B9C6CC" w:sz="2"/>
              <w:left w:val="single" w:color="B9C6CC" w:sz="2"/>
              <w:bottom w:val="single" w:color="B9C6CC" w:sz="2"/>
              <w:right w:val="single" w:color="B9C6CC" w:sz="2"/>
            </w:tcBorders>
            <w:shd w:fill="EBF3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Partial — may need PowerShell Script Block Logging</w:t>
            </w:r>
          </w:p>
        </w:tc>
      </w:tr>
      <w:tr>
        <w:tc>
          <w:tcPr>
            <w:tcW w:type="dxa" w:w="2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Phase 5 — Discovery + C2 coverage</w:t>
            </w:r>
          </w:p>
        </w:tc>
        <w:tc>
          <w:tcPr>
            <w:tcW w:type="dxa" w:w="1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Month 4-5</w:t>
            </w:r>
          </w:p>
        </w:tc>
        <w:tc>
          <w:tcPr>
            <w:tcW w:type="dxa" w:w="30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Selected T1016, T1057, T1071 variants</w:t>
            </w:r>
          </w:p>
        </w:tc>
        <w:tc>
          <w:tcPr>
            <w:tcW w:type="dxa" w:w="2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Yes — needs network telemetry or expanded Sysmon rules</w:t>
            </w:r>
          </w:p>
        </w:tc>
      </w:tr>
    </w:tbl>
    <w:p>
      <w:pPr>
        <w:spacing w:after="160"/>
      </w:pPr>
      <w:r>
        <w:t xml:space="preserve"/>
      </w:r>
    </w:p>
    <w:p>
      <w:pPr>
        <w:pStyle w:val="Heading1"/>
      </w:pPr>
      <w:r>
        <w:t xml:space="preserve">7. Conclusion</w:t>
      </w:r>
    </w:p>
    <w:p>
      <w:pPr>
        <w:spacing w:after="160"/>
      </w:pPr>
      <w:r>
        <w:rPr>
          <w:rFonts w:ascii="Calibri" w:cs="Calibri" w:eastAsia="Calibri" w:hAnsi="Calibri"/>
          <w:sz w:val="22"/>
          <w:szCs w:val="22"/>
        </w:rPr>
        <w:t xml:space="preserve">The current Home SOC Lab detection coverage represents a solid, honest, fully-tested foundation across the highest-priority ATT&amp;CK tactics. Every green cell on the heat map is backed by real Splunk alerts, real Atomic Red Team telemetry, and real investigation documentation. The gap analysis above is equally honest: five tactics have no coverage, and the reasons for each gap are documented rather than hidden.</w:t>
      </w:r>
    </w:p>
    <w:p>
      <w:pPr>
        <w:spacing w:after="160"/>
      </w:pPr>
      <w:r>
        <w:rPr>
          <w:rFonts w:ascii="Calibri" w:cs="Calibri" w:eastAsia="Calibri" w:hAnsi="Calibri"/>
          <w:sz w:val="22"/>
          <w:szCs w:val="22"/>
        </w:rPr>
        <w:t xml:space="preserve">The prioritization framework provides a clear, reasoned path forward: the two P1 detections (brute force and defense impairment) should be the immediate next build, both because of their high real-world frequency and because one of them (defense impairment detection) directly protects the integrity of all other detections in the lab. From there, the P2 and P3 items extend coverage methodically while staying within the existing telemetry footprint.</w:t>
      </w:r>
    </w:p>
    <w:p>
      <w:pPr>
        <w:spacing w:after="160"/>
      </w:pPr>
      <w:r>
        <w:rPr>
          <w:rFonts w:ascii="Calibri" w:cs="Calibri" w:eastAsia="Calibri" w:hAnsi="Calibri"/>
          <w:b w:val="false"/>
          <w:bCs w:val="false"/>
          <w:i/>
          <w:iCs/>
          <w:sz w:val="22"/>
          <w:szCs w:val="22"/>
        </w:rPr>
        <w:t xml:space="preserve">A coverage matrix that honestly shows what’s missing and explains why is more valuable than one that claims completeness it doesn’t have. Real SOC teams deal with gaps constantly; demonstrating you can identify, document, and prioritize them is the skill that matters.</w:t>
      </w:r>
    </w:p>
    <w:p>
      <w:pPr>
        <w:spacing w:after="160"/>
      </w:pPr>
      <w:r>
        <w:t xml:space="preserve"/>
      </w:r>
    </w:p>
    <w:p>
      <w:pPr>
        <w:pBdr>
          <w:top w:val="single" w:color="999999" w:sz="4" w:space="8"/>
        </w:pBdr>
        <w:spacing w:before="360"/>
      </w:pPr>
      <w:r>
        <w:rPr>
          <w:rFonts w:ascii="Calibri" w:cs="Calibri" w:eastAsia="Calibri" w:hAnsi="Calibri"/>
          <w:i/>
          <w:iCs/>
          <w:color w:val="555555"/>
          <w:sz w:val="19"/>
          <w:szCs w:val="19"/>
        </w:rPr>
        <w:t xml:space="preserve">This gap analysis and prioritization framework is based on the MITRE ATT&amp;CK framework v19 and reflects the actual detection coverage of the Home SOC Lab as of June 2026. All statistics reflect real, tested detections — no coverage claims have been inflated.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5F"/>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4E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777a6899b4b28a1524578402612995a764d5d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2026-07-01T08:30:53.223Z</dcterms:created>
  <dcterms:modified xsi:type="dcterms:W3CDTF">2026-07-01T08:30:53.237Z</dcterms:modified>
</cp:coreProperties>
</file>

<file path=docProps/custom.xml><?xml version="1.0" encoding="utf-8"?>
<Properties xmlns="http://schemas.openxmlformats.org/officeDocument/2006/custom-properties" xmlns:vt="http://schemas.openxmlformats.org/officeDocument/2006/docPropsVTypes"/>
</file>