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29"/>
        <w:gridCol w:w="5129"/>
        <w:gridCol w:w="5130"/>
        <w:tblGridChange w:id="0">
          <w:tblGrid>
            <w:gridCol w:w="5129"/>
            <w:gridCol w:w="5129"/>
            <w:gridCol w:w="5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78965" cy="18789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965" cy="1878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 Gerardo Antonio Pámanes-Carrasco.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Mexico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703070" cy="166116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LCDO. SAHIAN MACIAS Z.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Ecuador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26204" cy="222071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16651" l="14416" r="65421" t="34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04" cy="2220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Mat. Carlomagno Aquiles Solorzano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Ecuador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4365" cy="1904365"/>
                  <wp:effectExtent b="0" l="0" r="0" t="0"/>
                  <wp:docPr descr="Alberto David Segovia Araujo - Gerente asistente en Recicop | LinkedIn" id="4" name="image4.png"/>
                  <a:graphic>
                    <a:graphicData uri="http://schemas.openxmlformats.org/drawingml/2006/picture">
                      <pic:pic>
                        <pic:nvPicPr>
                          <pic:cNvPr descr="Alberto David Segovia Araujo - Gerente asistente en Recicop | LinkedIn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365" cy="1904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Eco. David Segovia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Ecuador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C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