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595959"/>
          <w:sz w:val="20"/>
          <w:szCs w:val="20"/>
        </w:rPr>
        <w:t xml:space="preserve">Wage Watch Compliance Group</w:t>
      </w:r>
    </w:p>
    <w:p>
      <w:pPr>
        <w:spacing w:after="200"/>
      </w:pPr>
      <w:r>
        <w:rPr>
          <w:b/>
          <w:bCs/>
          <w:color w:val="1F3864"/>
          <w:sz w:val="36"/>
          <w:szCs w:val="36"/>
        </w:rPr>
        <w:t xml:space="preserve">Information Security Policy</w:t>
      </w:r>
    </w:p>
    <w:p>
      <w:pPr>
        <w:spacing w:after="40"/>
      </w:pPr>
      <w:r>
        <w:rPr>
          <w:i/>
          <w:iCs/>
          <w:color w:val="595959"/>
          <w:sz w:val="20"/>
          <w:szCs w:val="20"/>
        </w:rPr>
        <w:t xml:space="preserve">Product covered: SteerMoney (personal-finance web application)</w:t>
      </w:r>
    </w:p>
    <w:p>
      <w:pPr>
        <w:spacing w:after="240"/>
      </w:pPr>
      <w:r>
        <w:rPr>
          <w:color w:val="595959"/>
          <w:sz w:val="19"/>
          <w:szCs w:val="19"/>
        </w:rPr>
        <w:t xml:space="preserve">Policy owner and security contact: Israel Hernandez, President — israel@jmheandc.com  |  Monitored group contact: info@wagewatchcompliance.com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40"/>
        <w:gridCol w:w="2840"/>
      </w:tblGrid>
      <w:tr>
        <w:tc>
          <w:tcPr>
            <w:tcW w:type="dxa" w:w="2200"/>
            <w:shd w:fill="1F3864" w:color="auto" w:val="clear"/>
            <w:tcMar>
              <w:top w:type="dxa" w:w="80"/>
              <w:left w:type="dxa" w:w="100"/>
              <w:bottom w:type="dxa" w:w="80"/>
              <w:right w:type="dxa" w:w="100"/>
            </w:tcMar>
            <w:vAlign w:val="center"/>
          </w:tcPr>
          <w:p>
            <w:pPr>
              <w:jc w:val="left"/>
            </w:pPr>
            <w:r>
              <w:rPr>
                <w:b/>
                <w:bCs/>
                <w:color w:val="FFFFFF"/>
                <w:sz w:val="19"/>
                <w:szCs w:val="19"/>
              </w:rPr>
              <w:t xml:space="preserve">Version</w:t>
            </w:r>
          </w:p>
        </w:tc>
        <w:tc>
          <w:tcPr>
            <w:tcW w:type="dxa" w:w="2200"/>
            <w:shd w:fill="1F3864" w:color="auto" w:val="clear"/>
            <w:tcMar>
              <w:top w:type="dxa" w:w="80"/>
              <w:left w:type="dxa" w:w="100"/>
              <w:bottom w:type="dxa" w:w="80"/>
              <w:right w:type="dxa" w:w="100"/>
            </w:tcMar>
            <w:vAlign w:val="center"/>
          </w:tcPr>
          <w:p>
            <w:pPr>
              <w:jc w:val="left"/>
            </w:pPr>
            <w:r>
              <w:rPr>
                <w:b/>
                <w:bCs/>
                <w:color w:val="FFFFFF"/>
                <w:sz w:val="19"/>
                <w:szCs w:val="19"/>
              </w:rPr>
              <w:t xml:space="preserve">Effective Date</w:t>
            </w:r>
          </w:p>
        </w:tc>
        <w:tc>
          <w:tcPr>
            <w:tcW w:type="dxa" w:w="2840"/>
            <w:shd w:fill="1F3864" w:color="auto" w:val="clear"/>
            <w:tcMar>
              <w:top w:type="dxa" w:w="80"/>
              <w:left w:type="dxa" w:w="100"/>
              <w:bottom w:type="dxa" w:w="80"/>
              <w:right w:type="dxa" w:w="100"/>
            </w:tcMar>
            <w:vAlign w:val="center"/>
          </w:tcPr>
          <w:p>
            <w:pPr>
              <w:jc w:val="left"/>
            </w:pPr>
            <w:r>
              <w:rPr>
                <w:b/>
                <w:bCs/>
                <w:color w:val="FFFFFF"/>
                <w:sz w:val="19"/>
                <w:szCs w:val="19"/>
              </w:rPr>
              <w:t xml:space="preserve">Approved By</w:t>
            </w:r>
          </w:p>
        </w:tc>
        <w:tc>
          <w:tcPr>
            <w:tcW w:type="dxa" w:w="2840"/>
            <w:shd w:fill="1F3864" w:color="auto" w:val="clear"/>
            <w:tcMar>
              <w:top w:type="dxa" w:w="80"/>
              <w:left w:type="dxa" w:w="100"/>
              <w:bottom w:type="dxa" w:w="80"/>
              <w:right w:type="dxa" w:w="100"/>
            </w:tcMar>
            <w:vAlign w:val="center"/>
          </w:tcPr>
          <w:p>
            <w:pPr>
              <w:jc w:val="left"/>
            </w:pPr>
            <w:r>
              <w:rPr>
                <w:b/>
                <w:bCs/>
                <w:color w:val="FFFFFF"/>
                <w:sz w:val="19"/>
                <w:szCs w:val="19"/>
              </w:rPr>
              <w:t xml:space="preserve">Review Cadence</w:t>
            </w:r>
          </w:p>
        </w:tc>
      </w:tr>
      <w:tr>
        <w:tc>
          <w:tcPr>
            <w:tcW w:type="dxa" w:w="2200"/>
            <w:tcMar>
              <w:top w:type="dxa" w:w="80"/>
              <w:left w:type="dxa" w:w="100"/>
              <w:bottom w:type="dxa" w:w="80"/>
              <w:right w:type="dxa" w:w="100"/>
            </w:tcMar>
            <w:vAlign w:val="center"/>
          </w:tcPr>
          <w:p>
            <w:pPr>
              <w:jc w:val="left"/>
            </w:pPr>
            <w:r>
              <w:rPr>
                <w:b w:val="false"/>
                <w:bCs w:val="false"/>
                <w:sz w:val="19"/>
                <w:szCs w:val="19"/>
              </w:rPr>
              <w:t xml:space="preserve">1.0</w:t>
            </w:r>
          </w:p>
        </w:tc>
        <w:tc>
          <w:tcPr>
            <w:tcW w:type="dxa" w:w="2200"/>
            <w:tcMar>
              <w:top w:type="dxa" w:w="80"/>
              <w:left w:type="dxa" w:w="100"/>
              <w:bottom w:type="dxa" w:w="80"/>
              <w:right w:type="dxa" w:w="100"/>
            </w:tcMar>
            <w:vAlign w:val="center"/>
          </w:tcPr>
          <w:p>
            <w:pPr>
              <w:jc w:val="left"/>
            </w:pPr>
            <w:r>
              <w:rPr>
                <w:b w:val="false"/>
                <w:bCs w:val="false"/>
                <w:sz w:val="19"/>
                <w:szCs w:val="19"/>
              </w:rPr>
              <w:t xml:space="preserve">August 1, 2026</w:t>
            </w:r>
          </w:p>
        </w:tc>
        <w:tc>
          <w:tcPr>
            <w:tcW w:type="dxa" w:w="2840"/>
            <w:tcMar>
              <w:top w:type="dxa" w:w="80"/>
              <w:left w:type="dxa" w:w="100"/>
              <w:bottom w:type="dxa" w:w="80"/>
              <w:right w:type="dxa" w:w="100"/>
            </w:tcMar>
            <w:vAlign w:val="center"/>
          </w:tcPr>
          <w:p>
            <w:pPr>
              <w:jc w:val="left"/>
            </w:pPr>
            <w:r>
              <w:rPr>
                <w:b w:val="false"/>
                <w:bCs w:val="false"/>
                <w:sz w:val="19"/>
                <w:szCs w:val="19"/>
              </w:rPr>
              <w:t xml:space="preserve">Israel Hernandez, President</w:t>
            </w:r>
          </w:p>
        </w:tc>
        <w:tc>
          <w:tcPr>
            <w:tcW w:type="dxa" w:w="2840"/>
            <w:tcMar>
              <w:top w:type="dxa" w:w="80"/>
              <w:left w:type="dxa" w:w="100"/>
              <w:bottom w:type="dxa" w:w="80"/>
              <w:right w:type="dxa" w:w="100"/>
            </w:tcMar>
            <w:vAlign w:val="center"/>
          </w:tcPr>
          <w:p>
            <w:pPr>
              <w:jc w:val="left"/>
            </w:pPr>
            <w:r>
              <w:rPr>
                <w:b w:val="false"/>
                <w:bCs w:val="false"/>
                <w:sz w:val="19"/>
                <w:szCs w:val="19"/>
              </w:rPr>
              <w:t xml:space="preserve">Annually, or upon material change</w:t>
            </w:r>
          </w:p>
        </w:tc>
      </w:tr>
    </w:tbl>
    <w:p>
      <w:pPr>
        <w:spacing w:after="200"/>
      </w:pPr>
    </w:p>
    <w:p>
      <w:pPr>
        <w:pStyle w:val="Heading1"/>
        <w:pBdr>
          <w:bottom w:val="single" w:color="1F3864" w:sz="4" w:space="2"/>
        </w:pBdr>
        <w:spacing w:after="100" w:before="280"/>
      </w:pPr>
      <w:r>
        <w:rPr>
          <w:b/>
          <w:bCs/>
          <w:color w:val="1F3864"/>
          <w:sz w:val="26"/>
          <w:szCs w:val="26"/>
        </w:rPr>
        <w:t xml:space="preserve">1. Purpose &amp; Scope</w:t>
      </w:r>
    </w:p>
    <w:p>
      <w:pPr>
        <w:spacing w:after="120" w:line="276"/>
      </w:pPr>
      <w:r>
        <w:rPr>
          <w:sz w:val="21"/>
          <w:szCs w:val="21"/>
        </w:rPr>
        <w:t xml:space="preserve">This policy defines how Wage Watch Compliance Group protects customer financial data processed by SteerMoney, our personal-finance web application. SteerMoney connects to users' financial institutions (via Plaid) to display balances, transactions, debts, and budgets, and stores the resulting data on the user's behalf.</w:t>
      </w:r>
    </w:p>
    <w:p>
      <w:pPr>
        <w:spacing w:after="120" w:line="276"/>
      </w:pPr>
      <w:r>
        <w:rPr>
          <w:sz w:val="21"/>
          <w:szCs w:val="21"/>
        </w:rPr>
        <w:t xml:space="preserve">This policy applies to all personnel with access to SteerMoney systems or data (currently the President, as sole employee/contractor with system access), all production and development systems, and all third-party services used to build, host, or operate SteerMoney. It governs how sensitive data is classified, accessed, transmitted, stored, and disposed of, and how the company responds to security incidents.</w:t>
      </w:r>
    </w:p>
    <w:p>
      <w:pPr>
        <w:pStyle w:val="Heading1"/>
        <w:pBdr>
          <w:bottom w:val="single" w:color="1F3864" w:sz="4" w:space="2"/>
        </w:pBdr>
        <w:spacing w:after="100" w:before="280"/>
      </w:pPr>
      <w:r>
        <w:rPr>
          <w:b/>
          <w:bCs/>
          <w:color w:val="1F3864"/>
          <w:sz w:val="26"/>
          <w:szCs w:val="26"/>
        </w:rPr>
        <w:t xml:space="preserve">2. Roles &amp; Responsibilities</w:t>
      </w:r>
    </w:p>
    <w:p>
      <w:pPr>
        <w:spacing w:after="120" w:line="276"/>
      </w:pPr>
      <w:r>
        <w:rPr>
          <w:sz w:val="21"/>
          <w:szCs w:val="21"/>
        </w:rPr>
        <w:t xml:space="preserve">Wage Watch Compliance Group is a small, early-stage company. The President, Israel Hernandez, holds the role of Information Security Officer (ISO) in addition to other duties. There is no separate security team; this policy is scoped to be executable by that single role.</w:t>
      </w:r>
    </w:p>
    <w:p>
      <w:pPr>
        <w:pStyle w:val="Heading2"/>
        <w:spacing w:after="60" w:before="160"/>
      </w:pPr>
      <w:r>
        <w:rPr>
          <w:b/>
          <w:bCs/>
          <w:color w:val="595959"/>
          <w:sz w:val="22"/>
          <w:szCs w:val="22"/>
        </w:rPr>
        <w:t xml:space="preserve">Information Security Officer (Israel Hernandez, President) responsibilities:</w:t>
      </w:r>
    </w:p>
    <w:p>
      <w:pPr>
        <w:pStyle w:val="ListParagraph"/>
        <w:numPr>
          <w:ilvl w:val="0"/>
          <w:numId w:val="2"/>
        </w:numPr>
        <w:spacing w:after="60" w:line="264"/>
      </w:pPr>
      <w:r>
        <w:rPr>
          <w:sz w:val="21"/>
          <w:szCs w:val="21"/>
        </w:rPr>
        <w:t xml:space="preserve">Owns and maintains this policy, and approves any changes to it.</w:t>
      </w:r>
    </w:p>
    <w:p>
      <w:pPr>
        <w:pStyle w:val="ListParagraph"/>
        <w:numPr>
          <w:ilvl w:val="0"/>
          <w:numId w:val="2"/>
        </w:numPr>
        <w:spacing w:after="60" w:line="264"/>
      </w:pPr>
      <w:r>
        <w:rPr>
          <w:sz w:val="21"/>
          <w:szCs w:val="21"/>
        </w:rPr>
        <w:t xml:space="preserve">Administers access to all production systems (hosting, database, source control, Plaid Dashboard) and reviews who has access on a quarterly basis.</w:t>
      </w:r>
    </w:p>
    <w:p>
      <w:pPr>
        <w:pStyle w:val="ListParagraph"/>
        <w:numPr>
          <w:ilvl w:val="0"/>
          <w:numId w:val="2"/>
        </w:numPr>
        <w:spacing w:after="60" w:line="264"/>
      </w:pPr>
      <w:r>
        <w:rPr>
          <w:sz w:val="21"/>
          <w:szCs w:val="21"/>
        </w:rPr>
        <w:t xml:space="preserve">Is the first point of contact for security incidents and vulnerability reports, and leads the response described in Section 8.</w:t>
      </w:r>
    </w:p>
    <w:p>
      <w:pPr>
        <w:pStyle w:val="ListParagraph"/>
        <w:numPr>
          <w:ilvl w:val="0"/>
          <w:numId w:val="2"/>
        </w:numPr>
        <w:spacing w:after="60" w:line="264"/>
      </w:pPr>
      <w:r>
        <w:rPr>
          <w:sz w:val="21"/>
          <w:szCs w:val="21"/>
        </w:rPr>
        <w:t xml:space="preserve">Evaluates and approves any new third-party service provider before it is given access to company or customer data.</w:t>
      </w:r>
    </w:p>
    <w:p>
      <w:pPr>
        <w:pStyle w:val="ListParagraph"/>
        <w:numPr>
          <w:ilvl w:val="0"/>
          <w:numId w:val="2"/>
        </w:numPr>
        <w:spacing w:after="60" w:line="264"/>
      </w:pPr>
      <w:r>
        <w:rPr>
          <w:sz w:val="21"/>
          <w:szCs w:val="21"/>
        </w:rPr>
        <w:t xml:space="preserve">Applies security-relevant software updates and monitors dependency-vulnerability alerts.</w:t>
      </w:r>
    </w:p>
    <w:p>
      <w:pPr>
        <w:spacing w:after="120" w:line="276"/>
      </w:pPr>
      <w:r>
        <w:rPr>
          <w:sz w:val="21"/>
          <w:szCs w:val="21"/>
        </w:rPr>
        <w:t xml:space="preserve">If Wage Watch Compliance Group grows to add engineering or support staff, each new person's access is granted under Section 4 (least privilege) and this section will be updated to name their responsibilities before they are given system access.</w:t>
      </w:r>
    </w:p>
    <w:p>
      <w:pPr>
        <w:pStyle w:val="Heading1"/>
        <w:pBdr>
          <w:bottom w:val="single" w:color="1F3864" w:sz="4" w:space="2"/>
        </w:pBdr>
        <w:spacing w:after="100" w:before="280"/>
      </w:pPr>
      <w:r>
        <w:rPr>
          <w:b/>
          <w:bCs/>
          <w:color w:val="1F3864"/>
          <w:sz w:val="26"/>
          <w:szCs w:val="26"/>
        </w:rPr>
        <w:t xml:space="preserve">3. Data Classification &amp; Handling</w:t>
      </w:r>
    </w:p>
    <w:p>
      <w:pPr>
        <w:spacing w:after="120" w:line="276"/>
      </w:pPr>
      <w:r>
        <w:rPr>
          <w:sz w:val="21"/>
          <w:szCs w:val="21"/>
        </w:rPr>
        <w:t xml:space="preserve">Data handled by SteerMoney is classified into three tiers, each with defined handling rules:</w:t>
      </w:r>
    </w:p>
    <w:p>
      <w:pPr>
        <w:pStyle w:val="Heading2"/>
        <w:spacing w:after="60" w:before="160"/>
      </w:pPr>
      <w:r>
        <w:rPr>
          <w:b/>
          <w:bCs/>
          <w:color w:val="595959"/>
          <w:sz w:val="22"/>
          <w:szCs w:val="22"/>
        </w:rPr>
        <w:t xml:space="preserve">Sensitive</w:t>
      </w:r>
    </w:p>
    <w:p>
      <w:pPr>
        <w:spacing w:after="120" w:line="276"/>
      </w:pPr>
      <w:r>
        <w:rPr>
          <w:sz w:val="21"/>
          <w:szCs w:val="21"/>
        </w:rPr>
        <w:t xml:space="preserve">Plaid access tokens, bank/transaction data, account balances, debt and budget figures, and personally identifiable information (name, email, financial identifiers).</w:t>
      </w:r>
    </w:p>
    <w:p>
      <w:pPr>
        <w:pStyle w:val="ListParagraph"/>
        <w:numPr>
          <w:ilvl w:val="0"/>
          <w:numId w:val="2"/>
        </w:numPr>
        <w:spacing w:after="60" w:line="264"/>
      </w:pPr>
      <w:r>
        <w:rPr>
          <w:sz w:val="21"/>
          <w:szCs w:val="21"/>
        </w:rPr>
        <w:t xml:space="preserve">Stored only in the production database (Supabase) or, for Plaid access tokens, in a dedicated, access-restricted table (Section 5).</w:t>
      </w:r>
    </w:p>
    <w:p>
      <w:pPr>
        <w:pStyle w:val="ListParagraph"/>
        <w:numPr>
          <w:ilvl w:val="0"/>
          <w:numId w:val="2"/>
        </w:numPr>
        <w:spacing w:after="60" w:line="264"/>
      </w:pPr>
      <w:r>
        <w:rPr>
          <w:sz w:val="21"/>
          <w:szCs w:val="21"/>
        </w:rPr>
        <w:t xml:space="preserve">Never logged in plaintext, never emailed, never stored on local devices or in spreadsheets outside the production system.</w:t>
      </w:r>
    </w:p>
    <w:p>
      <w:pPr>
        <w:pStyle w:val="ListParagraph"/>
        <w:numPr>
          <w:ilvl w:val="0"/>
          <w:numId w:val="2"/>
        </w:numPr>
        <w:spacing w:after="60" w:line="264"/>
      </w:pPr>
      <w:r>
        <w:rPr>
          <w:sz w:val="21"/>
          <w:szCs w:val="21"/>
        </w:rPr>
        <w:t xml:space="preserve">Transmitted only over TLS-encrypted connections; accessed only through the application's authenticated, row-level-secured data paths.</w:t>
      </w:r>
    </w:p>
    <w:p>
      <w:pPr>
        <w:pStyle w:val="Heading2"/>
        <w:spacing w:after="60" w:before="160"/>
      </w:pPr>
      <w:r>
        <w:rPr>
          <w:b/>
          <w:bCs/>
          <w:color w:val="595959"/>
          <w:sz w:val="22"/>
          <w:szCs w:val="22"/>
        </w:rPr>
        <w:t xml:space="preserve">Internal</w:t>
      </w:r>
    </w:p>
    <w:p>
      <w:pPr>
        <w:spacing w:after="120" w:line="276"/>
      </w:pPr>
      <w:r>
        <w:rPr>
          <w:sz w:val="21"/>
          <w:szCs w:val="21"/>
        </w:rPr>
        <w:t xml:space="preserve">Source code, infrastructure configuration, internal documentation, and non-production credentials.</w:t>
      </w:r>
    </w:p>
    <w:p>
      <w:pPr>
        <w:pStyle w:val="ListParagraph"/>
        <w:numPr>
          <w:ilvl w:val="0"/>
          <w:numId w:val="2"/>
        </w:numPr>
        <w:spacing w:after="60" w:line="264"/>
      </w:pPr>
      <w:r>
        <w:rPr>
          <w:sz w:val="21"/>
          <w:szCs w:val="21"/>
        </w:rPr>
        <w:t xml:space="preserve">Stored in the company's private source-control repository and hosting-provider dashboards; access limited to the President (and future staff, per Section 4).</w:t>
      </w:r>
    </w:p>
    <w:p>
      <w:pPr>
        <w:pStyle w:val="Heading2"/>
        <w:spacing w:after="60" w:before="160"/>
      </w:pPr>
      <w:r>
        <w:rPr>
          <w:b/>
          <w:bCs/>
          <w:color w:val="595959"/>
          <w:sz w:val="22"/>
          <w:szCs w:val="22"/>
        </w:rPr>
        <w:t xml:space="preserve">Public</w:t>
      </w:r>
    </w:p>
    <w:p>
      <w:pPr>
        <w:spacing w:after="120" w:line="276"/>
      </w:pPr>
      <w:r>
        <w:rPr>
          <w:sz w:val="21"/>
          <w:szCs w:val="21"/>
        </w:rPr>
        <w:t xml:space="preserve">Marketing content, public-facing product documentation, and the compliance mailbox (info@wagewatchcompliance.com).</w:t>
      </w:r>
    </w:p>
    <w:p>
      <w:pPr>
        <w:pStyle w:val="ListParagraph"/>
        <w:numPr>
          <w:ilvl w:val="0"/>
          <w:numId w:val="2"/>
        </w:numPr>
        <w:spacing w:after="60" w:line="264"/>
      </w:pPr>
      <w:r>
        <w:rPr>
          <w:sz w:val="21"/>
          <w:szCs w:val="21"/>
        </w:rPr>
        <w:t xml:space="preserve">No special handling required; may be shared externally.</w:t>
      </w:r>
    </w:p>
    <w:p>
      <w:pPr>
        <w:pStyle w:val="Heading1"/>
        <w:pBdr>
          <w:bottom w:val="single" w:color="1F3864" w:sz="4" w:space="2"/>
        </w:pBdr>
        <w:spacing w:after="100" w:before="280"/>
      </w:pPr>
      <w:r>
        <w:rPr>
          <w:b/>
          <w:bCs/>
          <w:color w:val="1F3864"/>
          <w:sz w:val="26"/>
          <w:szCs w:val="26"/>
        </w:rPr>
        <w:t xml:space="preserve">4. Identity &amp; Access Management</w:t>
      </w:r>
    </w:p>
    <w:p>
      <w:pPr>
        <w:spacing w:after="120" w:line="276"/>
      </w:pPr>
      <w:r>
        <w:rPr>
          <w:sz w:val="21"/>
          <w:szCs w:val="21"/>
        </w:rPr>
        <w:t xml:space="preserve">Access to systems and data follows the principle of least privilege: each person and each service account is granted only the access it needs to perform its function, and no more.</w:t>
      </w:r>
    </w:p>
    <w:p>
      <w:pPr>
        <w:pStyle w:val="ListParagraph"/>
        <w:numPr>
          <w:ilvl w:val="0"/>
          <w:numId w:val="2"/>
        </w:numPr>
        <w:spacing w:after="60" w:line="264"/>
      </w:pPr>
      <w:r>
        <w:rPr>
          <w:sz w:val="21"/>
          <w:szCs w:val="21"/>
        </w:rPr>
        <w:t xml:space="preserve">Every individual with system access uses a unique, individually attributable account — no shared logins.</w:t>
      </w:r>
    </w:p>
    <w:p>
      <w:pPr>
        <w:pStyle w:val="ListParagraph"/>
        <w:numPr>
          <w:ilvl w:val="0"/>
          <w:numId w:val="2"/>
        </w:numPr>
        <w:spacing w:after="60" w:line="264"/>
      </w:pPr>
      <w:r>
        <w:rPr>
          <w:sz w:val="21"/>
          <w:szCs w:val="21"/>
        </w:rPr>
        <w:t xml:space="preserve">Multi-factor authentication (MFA) is required on all critical services: the hosting provider (Vercel), the database (Supabase), source control, the Plaid Dashboard, and company email.</w:t>
      </w:r>
    </w:p>
    <w:p>
      <w:pPr>
        <w:pStyle w:val="ListParagraph"/>
        <w:numPr>
          <w:ilvl w:val="0"/>
          <w:numId w:val="2"/>
        </w:numPr>
        <w:spacing w:after="60" w:line="264"/>
      </w:pPr>
      <w:r>
        <w:rPr>
          <w:sz w:val="21"/>
          <w:szCs w:val="21"/>
        </w:rPr>
        <w:t xml:space="preserve">Access to production systems is reviewed at least quarterly by the Information Security Officer to confirm it remains necessary.</w:t>
      </w:r>
    </w:p>
    <w:p>
      <w:pPr>
        <w:pStyle w:val="ListParagraph"/>
        <w:numPr>
          <w:ilvl w:val="0"/>
          <w:numId w:val="2"/>
        </w:numPr>
        <w:spacing w:after="60" w:line="264"/>
      </w:pPr>
      <w:r>
        <w:rPr>
          <w:sz w:val="21"/>
          <w:szCs w:val="21"/>
        </w:rPr>
        <w:t xml:space="preserve">Access is revoked immediately upon a role change or departure that removes the need for it. Because the company currently has a single system administrator, this control is executed directly by the ISO as part of offboarding any contractor or future hire.</w:t>
      </w:r>
    </w:p>
    <w:p>
      <w:pPr>
        <w:pStyle w:val="Heading1"/>
        <w:pBdr>
          <w:bottom w:val="single" w:color="1F3864" w:sz="4" w:space="2"/>
        </w:pBdr>
        <w:spacing w:after="100" w:before="280"/>
      </w:pPr>
      <w:r>
        <w:rPr>
          <w:b/>
          <w:bCs/>
          <w:color w:val="1F3864"/>
          <w:sz w:val="26"/>
          <w:szCs w:val="26"/>
        </w:rPr>
        <w:t xml:space="preserve">5. Technical Safeguards</w:t>
      </w:r>
    </w:p>
    <w:p>
      <w:pPr>
        <w:spacing w:after="120" w:line="276"/>
      </w:pPr>
      <w:r>
        <w:rPr>
          <w:sz w:val="21"/>
          <w:szCs w:val="21"/>
        </w:rPr>
        <w:t xml:space="preserve">SteerMoney's architecture is built to keep sensitive data out of reach of anything other than the authenticated owner of that data:</w:t>
      </w:r>
    </w:p>
    <w:p>
      <w:pPr>
        <w:pStyle w:val="ListParagraph"/>
        <w:numPr>
          <w:ilvl w:val="0"/>
          <w:numId w:val="2"/>
        </w:numPr>
        <w:spacing w:after="60" w:line="264"/>
      </w:pPr>
      <w:r>
        <w:rPr>
          <w:sz w:val="21"/>
          <w:szCs w:val="21"/>
        </w:rPr>
        <w:t xml:space="preserve">Authentication is delegated entirely to Clerk (SOC 2 Type II certified). Wage Watch Compliance Group does not store or handle user passwords.</w:t>
      </w:r>
    </w:p>
    <w:p>
      <w:pPr>
        <w:pStyle w:val="ListParagraph"/>
        <w:numPr>
          <w:ilvl w:val="0"/>
          <w:numId w:val="2"/>
        </w:numPr>
        <w:spacing w:after="60" w:line="264"/>
      </w:pPr>
      <w:r>
        <w:rPr>
          <w:sz w:val="21"/>
          <w:szCs w:val="21"/>
        </w:rPr>
        <w:t xml:space="preserve">Application data is stored in Supabase Postgres (SOC 2 certified) with row-level security (RLS) policies enforced at the database layer, so each user can only read or write their own records — this is enforced by the database itself, not just application logic.</w:t>
      </w:r>
    </w:p>
    <w:p>
      <w:pPr>
        <w:pStyle w:val="ListParagraph"/>
        <w:numPr>
          <w:ilvl w:val="0"/>
          <w:numId w:val="2"/>
        </w:numPr>
        <w:spacing w:after="60" w:line="264"/>
      </w:pPr>
      <w:r>
        <w:rPr>
          <w:sz w:val="21"/>
          <w:szCs w:val="21"/>
        </w:rPr>
        <w:t xml:space="preserve">Plaid access tokens are stored server-side only, in a dedicated table with RLS enabled and no client-facing policies. That table is reachable exclusively through service-role credentials held in server-side environment variables; access tokens are never sent to, or readable by, the client application.</w:t>
      </w:r>
    </w:p>
    <w:p>
      <w:pPr>
        <w:pStyle w:val="ListParagraph"/>
        <w:numPr>
          <w:ilvl w:val="0"/>
          <w:numId w:val="2"/>
        </w:numPr>
        <w:spacing w:after="60" w:line="264"/>
      </w:pPr>
      <w:r>
        <w:rPr>
          <w:sz w:val="21"/>
          <w:szCs w:val="21"/>
        </w:rPr>
        <w:t xml:space="preserve">All secrets (API keys, service-role credentials, Plaid client secrets) are stored as environment variables in the hosting provider (Vercel) and are never committed to source control.</w:t>
      </w:r>
    </w:p>
    <w:p>
      <w:pPr>
        <w:pStyle w:val="ListParagraph"/>
        <w:numPr>
          <w:ilvl w:val="0"/>
          <w:numId w:val="2"/>
        </w:numPr>
        <w:spacing w:after="60" w:line="264"/>
      </w:pPr>
      <w:r>
        <w:rPr>
          <w:sz w:val="21"/>
          <w:szCs w:val="21"/>
        </w:rPr>
        <w:t xml:space="preserve">All data in transit is encrypted using TLS 1.2 or higher. Data at rest is encrypted by the underlying cloud providers (Supabase, Vercel).</w:t>
      </w:r>
    </w:p>
    <w:p>
      <w:pPr>
        <w:pStyle w:val="ListParagraph"/>
        <w:numPr>
          <w:ilvl w:val="0"/>
          <w:numId w:val="2"/>
        </w:numPr>
        <w:spacing w:after="60" w:line="264"/>
      </w:pPr>
      <w:r>
        <w:rPr>
          <w:sz w:val="21"/>
          <w:szCs w:val="21"/>
        </w:rPr>
        <w:t xml:space="preserve">Application dependencies are updated on a regular basis to incorporate security fixes (see Section 7).</w:t>
      </w:r>
    </w:p>
    <w:p>
      <w:pPr>
        <w:pStyle w:val="Heading1"/>
        <w:pBdr>
          <w:bottom w:val="single" w:color="1F3864" w:sz="4" w:space="2"/>
        </w:pBdr>
        <w:spacing w:after="100" w:before="280"/>
      </w:pPr>
      <w:r>
        <w:rPr>
          <w:b/>
          <w:bCs/>
          <w:color w:val="1F3864"/>
          <w:sz w:val="26"/>
          <w:szCs w:val="26"/>
        </w:rPr>
        <w:t xml:space="preserve">6. Third-Party Service Providers</w:t>
      </w:r>
    </w:p>
    <w:p>
      <w:pPr>
        <w:spacing w:after="120" w:line="276"/>
      </w:pPr>
      <w:r>
        <w:rPr>
          <w:sz w:val="21"/>
          <w:szCs w:val="21"/>
        </w:rPr>
        <w:t xml:space="preserve">SteerMoney relies on a small set of vetted infrastructure providers rather than self-hosting core services. Each is evaluated for its security and compliance posture before adoption, and re-reviewed if its role in the system changes.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5280"/>
      </w:tblGrid>
      <w:tr>
        <w:tc>
          <w:tcPr>
            <w:tcW w:type="dxa" w:w="1600"/>
            <w:shd w:fill="1F3864" w:color="auto" w:val="clear"/>
            <w:tcMar>
              <w:top w:type="dxa" w:w="80"/>
              <w:left w:type="dxa" w:w="100"/>
              <w:bottom w:type="dxa" w:w="80"/>
              <w:right w:type="dxa" w:w="100"/>
            </w:tcMar>
            <w:vAlign w:val="center"/>
          </w:tcPr>
          <w:p>
            <w:pPr>
              <w:jc w:val="left"/>
            </w:pPr>
            <w:r>
              <w:rPr>
                <w:b/>
                <w:bCs/>
                <w:color w:val="FFFFFF"/>
                <w:sz w:val="19"/>
                <w:szCs w:val="19"/>
              </w:rPr>
              <w:t xml:space="preserve">Provider</w:t>
            </w:r>
          </w:p>
        </w:tc>
        <w:tc>
          <w:tcPr>
            <w:tcW w:type="dxa" w:w="3200"/>
            <w:shd w:fill="1F3864" w:color="auto" w:val="clear"/>
            <w:tcMar>
              <w:top w:type="dxa" w:w="80"/>
              <w:left w:type="dxa" w:w="100"/>
              <w:bottom w:type="dxa" w:w="80"/>
              <w:right w:type="dxa" w:w="100"/>
            </w:tcMar>
            <w:vAlign w:val="center"/>
          </w:tcPr>
          <w:p>
            <w:pPr>
              <w:jc w:val="left"/>
            </w:pPr>
            <w:r>
              <w:rPr>
                <w:b/>
                <w:bCs/>
                <w:color w:val="FFFFFF"/>
                <w:sz w:val="19"/>
                <w:szCs w:val="19"/>
              </w:rPr>
              <w:t xml:space="preserve">Purpose</w:t>
            </w:r>
          </w:p>
        </w:tc>
        <w:tc>
          <w:tcPr>
            <w:tcW w:type="dxa" w:w="5280"/>
            <w:shd w:fill="1F3864" w:color="auto" w:val="clear"/>
            <w:tcMar>
              <w:top w:type="dxa" w:w="80"/>
              <w:left w:type="dxa" w:w="100"/>
              <w:bottom w:type="dxa" w:w="80"/>
              <w:right w:type="dxa" w:w="100"/>
            </w:tcMar>
            <w:vAlign w:val="center"/>
          </w:tcPr>
          <w:p>
            <w:pPr>
              <w:jc w:val="left"/>
            </w:pPr>
            <w:r>
              <w:rPr>
                <w:b/>
                <w:bCs/>
                <w:color w:val="FFFFFF"/>
                <w:sz w:val="19"/>
                <w:szCs w:val="19"/>
              </w:rPr>
              <w:t xml:space="preserve">Compliance Posture</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Clerk</w:t>
            </w:r>
          </w:p>
        </w:tc>
        <w:tc>
          <w:tcPr>
            <w:tcW w:type="dxa" w:w="3200"/>
            <w:tcMar>
              <w:top w:type="dxa" w:w="80"/>
              <w:left w:type="dxa" w:w="100"/>
              <w:bottom w:type="dxa" w:w="80"/>
              <w:right w:type="dxa" w:w="100"/>
            </w:tcMar>
            <w:vAlign w:val="center"/>
          </w:tcPr>
          <w:p>
            <w:pPr>
              <w:jc w:val="left"/>
            </w:pPr>
            <w:r>
              <w:rPr>
                <w:b w:val="false"/>
                <w:bCs w:val="false"/>
                <w:sz w:val="19"/>
                <w:szCs w:val="19"/>
              </w:rPr>
              <w:t xml:space="preserve">Authentication and user identity management</w:t>
            </w:r>
          </w:p>
        </w:tc>
        <w:tc>
          <w:tcPr>
            <w:tcW w:type="dxa" w:w="5280"/>
            <w:tcMar>
              <w:top w:type="dxa" w:w="80"/>
              <w:left w:type="dxa" w:w="100"/>
              <w:bottom w:type="dxa" w:w="80"/>
              <w:right w:type="dxa" w:w="100"/>
            </w:tcMar>
            <w:vAlign w:val="center"/>
          </w:tcPr>
          <w:p>
            <w:pPr>
              <w:jc w:val="left"/>
            </w:pPr>
            <w:r>
              <w:rPr>
                <w:b w:val="false"/>
                <w:bCs w:val="false"/>
                <w:sz w:val="19"/>
                <w:szCs w:val="19"/>
              </w:rPr>
              <w:t xml:space="preserve">SOC 2 Type II</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Supabase</w:t>
            </w:r>
          </w:p>
        </w:tc>
        <w:tc>
          <w:tcPr>
            <w:tcW w:type="dxa" w:w="3200"/>
            <w:tcMar>
              <w:top w:type="dxa" w:w="80"/>
              <w:left w:type="dxa" w:w="100"/>
              <w:bottom w:type="dxa" w:w="80"/>
              <w:right w:type="dxa" w:w="100"/>
            </w:tcMar>
            <w:vAlign w:val="center"/>
          </w:tcPr>
          <w:p>
            <w:pPr>
              <w:jc w:val="left"/>
            </w:pPr>
            <w:r>
              <w:rPr>
                <w:b w:val="false"/>
                <w:bCs w:val="false"/>
                <w:sz w:val="19"/>
                <w:szCs w:val="19"/>
              </w:rPr>
              <w:t xml:space="preserve">Postgres database hosting; row-level security enforcement</w:t>
            </w:r>
          </w:p>
        </w:tc>
        <w:tc>
          <w:tcPr>
            <w:tcW w:type="dxa" w:w="5280"/>
            <w:tcMar>
              <w:top w:type="dxa" w:w="80"/>
              <w:left w:type="dxa" w:w="100"/>
              <w:bottom w:type="dxa" w:w="80"/>
              <w:right w:type="dxa" w:w="100"/>
            </w:tcMar>
            <w:vAlign w:val="center"/>
          </w:tcPr>
          <w:p>
            <w:pPr>
              <w:jc w:val="left"/>
            </w:pPr>
            <w:r>
              <w:rPr>
                <w:b w:val="false"/>
                <w:bCs w:val="false"/>
                <w:sz w:val="19"/>
                <w:szCs w:val="19"/>
              </w:rPr>
              <w:t xml:space="preserve">SOC 2</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Vercel</w:t>
            </w:r>
          </w:p>
        </w:tc>
        <w:tc>
          <w:tcPr>
            <w:tcW w:type="dxa" w:w="3200"/>
            <w:tcMar>
              <w:top w:type="dxa" w:w="80"/>
              <w:left w:type="dxa" w:w="100"/>
              <w:bottom w:type="dxa" w:w="80"/>
              <w:right w:type="dxa" w:w="100"/>
            </w:tcMar>
            <w:vAlign w:val="center"/>
          </w:tcPr>
          <w:p>
            <w:pPr>
              <w:jc w:val="left"/>
            </w:pPr>
            <w:r>
              <w:rPr>
                <w:b w:val="false"/>
                <w:bCs w:val="false"/>
                <w:sz w:val="19"/>
                <w:szCs w:val="19"/>
              </w:rPr>
              <w:t xml:space="preserve">Application hosting and environment-variable secrets management</w:t>
            </w:r>
          </w:p>
        </w:tc>
        <w:tc>
          <w:tcPr>
            <w:tcW w:type="dxa" w:w="5280"/>
            <w:tcMar>
              <w:top w:type="dxa" w:w="80"/>
              <w:left w:type="dxa" w:w="100"/>
              <w:bottom w:type="dxa" w:w="80"/>
              <w:right w:type="dxa" w:w="100"/>
            </w:tcMar>
            <w:vAlign w:val="center"/>
          </w:tcPr>
          <w:p>
            <w:pPr>
              <w:jc w:val="left"/>
            </w:pPr>
            <w:r>
              <w:rPr>
                <w:b w:val="false"/>
                <w:bCs w:val="false"/>
                <w:sz w:val="19"/>
                <w:szCs w:val="19"/>
              </w:rPr>
              <w:t xml:space="preserve">SOC 2 Type II</w:t>
            </w:r>
          </w:p>
        </w:tc>
      </w:tr>
      <w:tr>
        <w:tc>
          <w:tcPr>
            <w:tcW w:type="dxa" w:w="1600"/>
            <w:tcMar>
              <w:top w:type="dxa" w:w="80"/>
              <w:left w:type="dxa" w:w="100"/>
              <w:bottom w:type="dxa" w:w="80"/>
              <w:right w:type="dxa" w:w="100"/>
            </w:tcMar>
            <w:vAlign w:val="center"/>
          </w:tcPr>
          <w:p>
            <w:pPr>
              <w:jc w:val="left"/>
            </w:pPr>
            <w:r>
              <w:rPr>
                <w:b w:val="false"/>
                <w:bCs w:val="false"/>
                <w:sz w:val="19"/>
                <w:szCs w:val="19"/>
              </w:rPr>
              <w:t xml:space="preserve">Plaid</w:t>
            </w:r>
          </w:p>
        </w:tc>
        <w:tc>
          <w:tcPr>
            <w:tcW w:type="dxa" w:w="3200"/>
            <w:tcMar>
              <w:top w:type="dxa" w:w="80"/>
              <w:left w:type="dxa" w:w="100"/>
              <w:bottom w:type="dxa" w:w="80"/>
              <w:right w:type="dxa" w:w="100"/>
            </w:tcMar>
            <w:vAlign w:val="center"/>
          </w:tcPr>
          <w:p>
            <w:pPr>
              <w:jc w:val="left"/>
            </w:pPr>
            <w:r>
              <w:rPr>
                <w:b w:val="false"/>
                <w:bCs w:val="false"/>
                <w:sz w:val="19"/>
                <w:szCs w:val="19"/>
              </w:rPr>
              <w:t xml:space="preserve">Bank account linking and transaction data aggregation</w:t>
            </w:r>
          </w:p>
        </w:tc>
        <w:tc>
          <w:tcPr>
            <w:tcW w:type="dxa" w:w="5280"/>
            <w:tcMar>
              <w:top w:type="dxa" w:w="80"/>
              <w:left w:type="dxa" w:w="100"/>
              <w:bottom w:type="dxa" w:w="80"/>
              <w:right w:type="dxa" w:w="100"/>
            </w:tcMar>
            <w:vAlign w:val="center"/>
          </w:tcPr>
          <w:p>
            <w:pPr>
              <w:jc w:val="left"/>
            </w:pPr>
            <w:r>
              <w:rPr>
                <w:b w:val="false"/>
                <w:bCs w:val="false"/>
                <w:sz w:val="19"/>
                <w:szCs w:val="19"/>
              </w:rPr>
              <w:t xml:space="preserve">SOC 2 Type II</w:t>
            </w:r>
          </w:p>
        </w:tc>
      </w:tr>
    </w:tbl>
    <w:p>
      <w:pPr>
        <w:spacing w:after="160"/>
      </w:pPr>
    </w:p>
    <w:p>
      <w:pPr>
        <w:spacing w:after="120" w:line="276"/>
      </w:pPr>
      <w:r>
        <w:rPr>
          <w:sz w:val="21"/>
          <w:szCs w:val="21"/>
        </w:rPr>
        <w:t xml:space="preserve">No new third-party service is granted access to Sensitive data (Section 3) without the Information Security Officer first reviewing its security documentation and data-handling terms.</w:t>
      </w:r>
    </w:p>
    <w:p>
      <w:pPr>
        <w:pStyle w:val="Heading1"/>
        <w:pBdr>
          <w:bottom w:val="single" w:color="1F3864" w:sz="4" w:space="2"/>
        </w:pBdr>
        <w:spacing w:after="100" w:before="280"/>
      </w:pPr>
      <w:r>
        <w:rPr>
          <w:b/>
          <w:bCs/>
          <w:color w:val="1F3864"/>
          <w:sz w:val="26"/>
          <w:szCs w:val="26"/>
        </w:rPr>
        <w:t xml:space="preserve">7. Vulnerability &amp; Patch Management</w:t>
      </w:r>
    </w:p>
    <w:p>
      <w:pPr>
        <w:pStyle w:val="ListParagraph"/>
        <w:numPr>
          <w:ilvl w:val="0"/>
          <w:numId w:val="2"/>
        </w:numPr>
        <w:spacing w:after="60" w:line="264"/>
      </w:pPr>
      <w:r>
        <w:rPr>
          <w:sz w:val="21"/>
          <w:szCs w:val="21"/>
        </w:rPr>
        <w:t xml:space="preserve">Application dependencies are monitored for known vulnerabilities using npm audit and GitHub Dependabot alerts.</w:t>
      </w:r>
    </w:p>
    <w:p>
      <w:pPr>
        <w:pStyle w:val="ListParagraph"/>
        <w:numPr>
          <w:ilvl w:val="0"/>
          <w:numId w:val="2"/>
        </w:numPr>
        <w:spacing w:after="60" w:line="264"/>
      </w:pPr>
      <w:r>
        <w:rPr>
          <w:sz w:val="21"/>
          <w:szCs w:val="21"/>
        </w:rPr>
        <w:t xml:space="preserve">Critical and high-severity vulnerabilities are patched promptly upon notification; routine dependency updates are applied on a regular cadence.</w:t>
      </w:r>
    </w:p>
    <w:p>
      <w:pPr>
        <w:pStyle w:val="ListParagraph"/>
        <w:numPr>
          <w:ilvl w:val="0"/>
          <w:numId w:val="2"/>
        </w:numPr>
        <w:spacing w:after="60" w:line="264"/>
      </w:pPr>
      <w:r>
        <w:rPr>
          <w:sz w:val="21"/>
          <w:szCs w:val="21"/>
        </w:rPr>
        <w:t xml:space="preserve">Hosting, database, and authentication providers (Vercel, Supabase, Clerk) manage patching of their own underlying infrastructure as part of their compliance obligations.</w:t>
      </w:r>
    </w:p>
    <w:p>
      <w:pPr>
        <w:pStyle w:val="Heading1"/>
        <w:pBdr>
          <w:bottom w:val="single" w:color="1F3864" w:sz="4" w:space="2"/>
        </w:pBdr>
        <w:spacing w:after="100" w:before="280"/>
      </w:pPr>
      <w:r>
        <w:rPr>
          <w:b/>
          <w:bCs/>
          <w:color w:val="1F3864"/>
          <w:sz w:val="26"/>
          <w:szCs w:val="26"/>
        </w:rPr>
        <w:t xml:space="preserve">8. Incident Response</w:t>
      </w:r>
    </w:p>
    <w:p>
      <w:pPr>
        <w:spacing w:after="120" w:line="276"/>
      </w:pPr>
      <w:r>
        <w:rPr>
          <w:sz w:val="21"/>
          <w:szCs w:val="21"/>
        </w:rPr>
        <w:t xml:space="preserve">In the event of a suspected or confirmed security incident, Wage Watch Compliance Group follows this process:</w:t>
      </w:r>
    </w:p>
    <w:p>
      <w:pPr>
        <w:pStyle w:val="ListParagraph"/>
        <w:numPr>
          <w:ilvl w:val="0"/>
          <w:numId w:val="2"/>
        </w:numPr>
        <w:spacing w:after="60" w:line="264"/>
      </w:pPr>
      <w:r>
        <w:rPr>
          <w:sz w:val="21"/>
          <w:szCs w:val="21"/>
        </w:rPr>
        <w:t xml:space="preserve">Detect — through provider alerts, monitoring, dependency-vulnerability notices, or direct report.</w:t>
      </w:r>
    </w:p>
    <w:p>
      <w:pPr>
        <w:pStyle w:val="ListParagraph"/>
        <w:numPr>
          <w:ilvl w:val="0"/>
          <w:numId w:val="2"/>
        </w:numPr>
        <w:spacing w:after="60" w:line="264"/>
      </w:pPr>
      <w:r>
        <w:rPr>
          <w:sz w:val="21"/>
          <w:szCs w:val="21"/>
        </w:rPr>
        <w:t xml:space="preserve">Contain — revoke or rotate affected credentials/access tokens, disable affected accounts or integrations as needed to stop further exposure.</w:t>
      </w:r>
    </w:p>
    <w:p>
      <w:pPr>
        <w:pStyle w:val="ListParagraph"/>
        <w:numPr>
          <w:ilvl w:val="0"/>
          <w:numId w:val="2"/>
        </w:numPr>
        <w:spacing w:after="60" w:line="264"/>
      </w:pPr>
      <w:r>
        <w:rPr>
          <w:sz w:val="21"/>
          <w:szCs w:val="21"/>
        </w:rPr>
        <w:t xml:space="preserve">Assess — determine what data and which users were affected and the likely cause.</w:t>
      </w:r>
    </w:p>
    <w:p>
      <w:pPr>
        <w:pStyle w:val="ListParagraph"/>
        <w:numPr>
          <w:ilvl w:val="0"/>
          <w:numId w:val="2"/>
        </w:numPr>
        <w:spacing w:after="60" w:line="264"/>
      </w:pPr>
      <w:r>
        <w:rPr>
          <w:sz w:val="21"/>
          <w:szCs w:val="21"/>
        </w:rPr>
        <w:t xml:space="preserve">Notify — affected users, and any implicated partner (including Plaid) whose data or integration was involved, are notified without undue delay once the scope is understood.</w:t>
      </w:r>
    </w:p>
    <w:p>
      <w:pPr>
        <w:pStyle w:val="ListParagraph"/>
        <w:numPr>
          <w:ilvl w:val="0"/>
          <w:numId w:val="2"/>
        </w:numPr>
        <w:spacing w:after="60" w:line="264"/>
      </w:pPr>
      <w:r>
        <w:rPr>
          <w:sz w:val="21"/>
          <w:szCs w:val="21"/>
        </w:rPr>
        <w:t xml:space="preserve">Remediate — apply the fix (patch, configuration change, credential rotation) and verify it closes the exposure.</w:t>
      </w:r>
    </w:p>
    <w:p>
      <w:pPr>
        <w:pStyle w:val="ListParagraph"/>
        <w:numPr>
          <w:ilvl w:val="0"/>
          <w:numId w:val="2"/>
        </w:numPr>
        <w:spacing w:after="60" w:line="264"/>
      </w:pPr>
      <w:r>
        <w:rPr>
          <w:sz w:val="21"/>
          <w:szCs w:val="21"/>
        </w:rPr>
        <w:t xml:space="preserve">Review — conduct a post-incident review to identify root cause and any follow-up control needed to prevent recurrence.</w:t>
      </w:r>
    </w:p>
    <w:p>
      <w:pPr>
        <w:spacing w:after="120" w:line="276"/>
      </w:pPr>
      <w:r>
        <w:rPr>
          <w:sz w:val="21"/>
          <w:szCs w:val="21"/>
        </w:rPr>
        <w:t xml:space="preserve">Security concerns or suspected incidents should be reported to the Information Security Officer, Israel Hernandez (israel@jmheandc.com), or to the monitored group mailbox info@wagewatchcompliance.com.</w:t>
      </w:r>
    </w:p>
    <w:p>
      <w:pPr>
        <w:pStyle w:val="Heading1"/>
        <w:pBdr>
          <w:bottom w:val="single" w:color="1F3864" w:sz="4" w:space="2"/>
        </w:pBdr>
        <w:spacing w:after="100" w:before="280"/>
      </w:pPr>
      <w:r>
        <w:rPr>
          <w:b/>
          <w:bCs/>
          <w:color w:val="1F3864"/>
          <w:sz w:val="26"/>
          <w:szCs w:val="26"/>
        </w:rPr>
        <w:t xml:space="preserve">9. Business Continuity &amp; Data Backup</w:t>
      </w:r>
    </w:p>
    <w:p>
      <w:pPr>
        <w:spacing w:after="120" w:line="276"/>
      </w:pPr>
      <w:r>
        <w:rPr>
          <w:sz w:val="21"/>
          <w:szCs w:val="21"/>
        </w:rPr>
        <w:t xml:space="preserve">SteerMoney's data persistence relies on managed providers rather than self-managed backup infrastructure. Supabase's automated backups provide point-in-time recovery for the production database. In the event of a service disruption, recovery consists of restoring from the most recent Supabase backup and, if needed, redeploying the application from source control to Vercel — both of which are managed, versioned, and do not depend on any local machine.</w:t>
      </w:r>
    </w:p>
    <w:p>
      <w:pPr>
        <w:pStyle w:val="Heading1"/>
        <w:pBdr>
          <w:bottom w:val="single" w:color="1F3864" w:sz="4" w:space="2"/>
        </w:pBdr>
        <w:spacing w:after="100" w:before="280"/>
      </w:pPr>
      <w:r>
        <w:rPr>
          <w:b/>
          <w:bCs/>
          <w:color w:val="1F3864"/>
          <w:sz w:val="26"/>
          <w:szCs w:val="26"/>
        </w:rPr>
        <w:t xml:space="preserve">10. Data Retention &amp; Disposal</w:t>
      </w:r>
    </w:p>
    <w:p>
      <w:pPr>
        <w:pStyle w:val="ListParagraph"/>
        <w:numPr>
          <w:ilvl w:val="0"/>
          <w:numId w:val="2"/>
        </w:numPr>
        <w:spacing w:after="60" w:line="264"/>
      </w:pPr>
      <w:r>
        <w:rPr>
          <w:sz w:val="21"/>
          <w:szCs w:val="21"/>
        </w:rPr>
        <w:t xml:space="preserve">User data is deleted upon user request or account closure.</w:t>
      </w:r>
    </w:p>
    <w:p>
      <w:pPr>
        <w:pStyle w:val="ListParagraph"/>
        <w:numPr>
          <w:ilvl w:val="0"/>
          <w:numId w:val="2"/>
        </w:numPr>
        <w:spacing w:after="60" w:line="264"/>
      </w:pPr>
      <w:r>
        <w:rPr>
          <w:sz w:val="21"/>
          <w:szCs w:val="21"/>
        </w:rPr>
        <w:t xml:space="preserve">When a bank connection is removed, the associated Plaid item is disconnected via Plaid's itemRemove call, which revokes the access token at Plaid, and the corresponding row is deleted from the plaid_items table — no lingering access to the user's institution remains.</w:t>
      </w:r>
    </w:p>
    <w:p>
      <w:pPr>
        <w:pStyle w:val="ListParagraph"/>
        <w:numPr>
          <w:ilvl w:val="0"/>
          <w:numId w:val="2"/>
        </w:numPr>
        <w:spacing w:after="60" w:line="264"/>
      </w:pPr>
      <w:r>
        <w:rPr>
          <w:sz w:val="21"/>
          <w:szCs w:val="21"/>
        </w:rPr>
        <w:t xml:space="preserve">Data is not retained beyond what is needed to operate the product or as required by law.</w:t>
      </w:r>
    </w:p>
    <w:p>
      <w:pPr>
        <w:pStyle w:val="Heading1"/>
        <w:pBdr>
          <w:bottom w:val="single" w:color="1F3864" w:sz="4" w:space="2"/>
        </w:pBdr>
        <w:spacing w:after="100" w:before="280"/>
      </w:pPr>
      <w:r>
        <w:rPr>
          <w:b/>
          <w:bCs/>
          <w:color w:val="1F3864"/>
          <w:sz w:val="26"/>
          <w:szCs w:val="26"/>
        </w:rPr>
        <w:t xml:space="preserve">11. Acceptable Use</w:t>
      </w:r>
    </w:p>
    <w:p>
      <w:pPr>
        <w:pStyle w:val="ListParagraph"/>
        <w:numPr>
          <w:ilvl w:val="0"/>
          <w:numId w:val="2"/>
        </w:numPr>
        <w:spacing w:after="60" w:line="264"/>
      </w:pPr>
      <w:r>
        <w:rPr>
          <w:sz w:val="21"/>
          <w:szCs w:val="21"/>
        </w:rPr>
        <w:t xml:space="preserve">Company devices used to access production systems must use a screen lock and full-disk encryption.</w:t>
      </w:r>
    </w:p>
    <w:p>
      <w:pPr>
        <w:pStyle w:val="ListParagraph"/>
        <w:numPr>
          <w:ilvl w:val="0"/>
          <w:numId w:val="2"/>
        </w:numPr>
        <w:spacing w:after="60" w:line="264"/>
      </w:pPr>
      <w:r>
        <w:rPr>
          <w:sz w:val="21"/>
          <w:szCs w:val="21"/>
        </w:rPr>
        <w:t xml:space="preserve">Credentials are never shared between individuals or services; each person uses their own account (Section 4).</w:t>
      </w:r>
    </w:p>
    <w:p>
      <w:pPr>
        <w:pStyle w:val="ListParagraph"/>
        <w:numPr>
          <w:ilvl w:val="0"/>
          <w:numId w:val="2"/>
        </w:numPr>
        <w:spacing w:after="60" w:line="264"/>
      </w:pPr>
      <w:r>
        <w:rPr>
          <w:sz w:val="21"/>
          <w:szCs w:val="21"/>
        </w:rPr>
        <w:t xml:space="preserve">Personnel remain vigilant against phishing and social-engineering attempts, particularly those targeting hosting, database, or Plaid Dashboard credentials, and report suspected attempts to the Information Security Officer.</w:t>
      </w:r>
    </w:p>
    <w:p>
      <w:pPr>
        <w:pStyle w:val="Heading1"/>
        <w:pBdr>
          <w:bottom w:val="single" w:color="1F3864" w:sz="4" w:space="2"/>
        </w:pBdr>
        <w:spacing w:after="100" w:before="280"/>
      </w:pPr>
      <w:r>
        <w:rPr>
          <w:b/>
          <w:bCs/>
          <w:color w:val="1F3864"/>
          <w:sz w:val="26"/>
          <w:szCs w:val="26"/>
        </w:rPr>
        <w:t xml:space="preserve">12. Policy Review &amp; Enforcement</w:t>
      </w:r>
    </w:p>
    <w:p>
      <w:pPr>
        <w:spacing w:after="120" w:line="276"/>
      </w:pPr>
      <w:r>
        <w:rPr>
          <w:sz w:val="21"/>
          <w:szCs w:val="21"/>
        </w:rPr>
        <w:t xml:space="preserve">This policy is reviewed by the Information Security Officer at least annually, and promptly upon any material change to SteerMoney's architecture, vendor set, or company staffing. Violations of this policy are addressed directly by the President; given the company's current size, enforcement is handled through direct corrective action (e.g., access revocation, credential rotation, or process correction) rather than a formal disciplinary process.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2026-08-01T17:48:09.556Z</dcterms:created>
  <dcterms:modified xsi:type="dcterms:W3CDTF">2026-08-01T17:48:09.557Z</dcterms:modified>
</cp:coreProperties>
</file>

<file path=docProps/custom.xml><?xml version="1.0" encoding="utf-8"?>
<Properties xmlns="http://schemas.openxmlformats.org/officeDocument/2006/custom-properties" xmlns:vt="http://schemas.openxmlformats.org/officeDocument/2006/docPropsVTypes"/>
</file>