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we beginning to commend ourselves again? Or do we need, as some do, letters of recommendation to you or from you?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our letter, written on our hearts, known and read by everyone.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clear that you are a letter from Mashiach delivered by us—written not with ink but with the Ruach of the living EH'YEH, not on tablets of stone but on tablets of human hearts.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is the confidence we have through Mashiach toward EH'YEH—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we are competent in ourselves to consider anything as coming from ourselves, but our competence is from EH'YEH.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also made us competent as servants of a new covenant—not of the letter, but of the Ruach. For the letter kills, but the Ruach gives life.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if the ministry of death, carved in letters on stone, came with such glory that Bnei-Yisrael could not look intently upon Moses’ face because of its glory—although it was passing away—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will the ministry of the Ruach not be even more glorious?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there is glory in the ministry of condemnation, the ministry of righteousness overflows even more in glory.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what was glorious is not glorious in comparison to the glory that surpasses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what is passing away is glorious, much more what remains is glorious.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having such a hope, we act with great boldness.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not like Moses, who used to put a veil over his face in order for Bnei-Yisrael not to look intently upon the end of what was passing away.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their minds were hardened. For up to this very day the same veil remains unlifted at the reading of the ancient covenant, since B’Mashiach it is passing away.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this day, whenever Moses is read, a veil lies over their heart.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whenever someone turns to YIHOVEH, the veil is taken away.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YIHOVEH is the Spirit and where the RUACH YIHOVEH is, there is freedom.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all, with unveiled face beholding as in a mirror the glory of YIHOVEH, are being transformed into the same image from glory to glory—just as from YIHOVEH, who is the Spirit.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