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rFonts w:ascii="Noto Sans JP" w:cs="Noto Sans JP" w:eastAsia="Noto Sans JP" w:hAnsi="Noto Sans JP"/>
          <w:b w:val="1"/>
          <w:bCs w:val="1"/>
          <w:sz w:val="24"/>
          <w:szCs w:val="24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24"/>
          <w:szCs w:val="24"/>
          <w:rtl w:val="0"/>
        </w:rPr>
        <w:t xml:space="preserve">えひえの親切の感謝</w:t>
      </w:r>
    </w:p>
    <w:p w:rsidR="00000000" w:rsidDel="00000000" w:rsidP="00000000" w:rsidRDefault="00000000" w:rsidRPr="00000000" w14:paraId="00000004">
      <w:pPr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すべての国よ、YIHOVEHをほめたたえよ。すべての民よ、えひえをあがめよ。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えひえのねばり強い愛は私たちに行き渡り、YIHOVEHの剛毅さはとこしえに続く。はれるや。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spacing w:line="276" w:lineRule="auto"/>
      <w:ind w:left="720" w:firstLine="0"/>
      <w:jc w:val="center"/>
      <w:rPr/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btNnm1aDLgVGJnxEd+B7vg3/Hw==">CgMxLjA4AHIhMVVyRjFvN1NUdFFPY0MtVVBSRmxFZjZOX3BZZTVLeHFK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