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 ngợi lòng thương xót của Ngài</w:t>
      </w:r>
    </w:p>
    <w:p w:rsidR="00000000" w:rsidDel="00000000" w:rsidP="00000000" w:rsidRDefault="00000000" w:rsidRPr="00000000" w14:paraId="00000004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Hãy ngợi khen YIHOVEH, hỡi tất cả các nước ; hãy tôn vinh Ngài, hỡi mọi dân tộc.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Vì tình yêu thương bền vững của Ngài đã thắng hơn chúng ta, và sự chân thật của YIHOVEH còn mãi đời đời. Ha-lê-lu-gia:</w:t>
      </w:r>
    </w:p>
    <w:sectPr>
      <w:headerReference r:id="rId7" w:type="default"/>
      <w:foot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spacing w:line="276" w:lineRule="auto"/>
      <w:ind w:left="720" w:firstLine="0"/>
      <w:jc w:val="center"/>
      <w:rPr/>
    </w:pP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0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spacing w:line="276" w:lineRule="auto"/>
      <w:rPr>
        <w:sz w:val="20"/>
        <w:szCs w:val="20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p3h4RPnaMRX58iwyHzMYcXemJA==">CgMxLjA4AHIhMXI1RC16S09CdWRQa3FlUmZSWHFxYXFIellKMWo0RTJs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