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 (in progress)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إمانو</w:t>
      </w:r>
      <w:r w:rsidDel="00000000" w:rsidR="00000000" w:rsidRPr="00000000">
        <w:rPr>
          <w:sz w:val="24"/>
          <w:szCs w:val="24"/>
          <w:rtl w:val="1"/>
        </w:rPr>
        <w:t xml:space="preserve"> </w:t>
      </w:r>
      <w:r w:rsidDel="00000000" w:rsidR="00000000" w:rsidRPr="00000000">
        <w:rPr>
          <w:sz w:val="24"/>
          <w:szCs w:val="24"/>
          <w:rtl w:val="1"/>
        </w:rPr>
        <w:t xml:space="preserve">إيل</w:t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أدوناي</w:t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1"/>
        </w:rPr>
        <w:t xml:space="preserve">ألوهيم</w:t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RQxveZSvS65xm0VdBm0sadn1y9g==">CgMxLjA4AHIhMUVjenlvYWV3MFVNcW1XMHMtU0ladTVKNVczT2Y1a1hY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