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jc w:val="center"/>
        <w:rPr>
          <w:rFonts w:ascii="Noto Sans JP" w:cs="Noto Sans JP" w:eastAsia="Noto Sans JP" w:hAnsi="Noto Sans JP"/>
          <w:b w:val="1"/>
          <w:bCs w:val="1"/>
          <w:color w:val="999999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999999"/>
          <w:rtl w:val="0"/>
        </w:rPr>
        <w:t xml:space="preserve">(Book Title)</w:t>
      </w:r>
    </w:p>
    <w:p w:rsidR="00000000" w:rsidDel="00000000" w:rsidP="00000000" w:rsidRDefault="00000000" w:rsidRPr="00000000" w14:paraId="00000002">
      <w:pPr>
        <w:jc w:val="center"/>
        <w:rPr>
          <w:rFonts w:ascii="Noto Sans JP" w:cs="Noto Sans JP" w:eastAsia="Noto Sans JP" w:hAnsi="Noto Sans JP"/>
          <w:b w:val="1"/>
          <w:bCs w:val="1"/>
          <w:sz w:val="36"/>
          <w:szCs w:val="36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color w:val="121212"/>
          <w:sz w:val="28"/>
          <w:szCs w:val="28"/>
          <w:rtl w:val="0"/>
        </w:rPr>
        <w:t xml:space="preserve">第1章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4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Fonts w:ascii="Noto Sans JP" w:cs="Noto Sans JP" w:eastAsia="Noto Sans JP" w:hAnsi="Noto Sans JP"/>
          <w:b w:val="1"/>
          <w:bCs w:val="1"/>
          <w:rtl w:val="0"/>
        </w:rPr>
        <w:t xml:space="preserve">(Section Title)</w:t>
      </w:r>
    </w:p>
    <w:p w:rsidR="00000000" w:rsidDel="00000000" w:rsidP="00000000" w:rsidRDefault="00000000" w:rsidRPr="00000000" w14:paraId="00000005">
      <w:pPr>
        <w:ind w:firstLine="720"/>
        <w:rPr>
          <w:rFonts w:ascii="Noto Sans JP" w:cs="Noto Sans JP" w:eastAsia="Noto Sans JP" w:hAnsi="Noto Sans JP"/>
          <w:b w:val="1"/>
          <w:bCs w:val="1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numPr>
          <w:ilvl w:val="0"/>
          <w:numId w:val="1"/>
        </w:numPr>
        <w:ind w:left="720" w:hanging="360"/>
        <w:rPr>
          <w:rFonts w:ascii="Noto Sans JP" w:cs="Noto Sans JP" w:eastAsia="Noto Sans JP" w:hAnsi="Noto Sans JP"/>
        </w:rPr>
      </w:pP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わたしと語った天の使がまた来て、わたしを呼びさました。わたしは眠りから呼びさまされた人のようであった。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がわたしに向かって「何を見るか」と言ったので、わたしは言った、「わたしが見ていると、すべて金で造られた燭台が一つあって、その上に油を入れる器があり、また燭台の上に七つのともしび皿があり、そのともしび皿は燭台の上にあって、これにおのおの七本ずつの管があります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また燭台のかたわらに、オリブの木が二本あって、一本は油をいれる器の右にあり、一本はその左にあります」。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わたしはまたわたしと語る天の使に言った、「わが主よ、これらはなんですか」。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5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わたしと語る天の使は答えて、「あなたはそれがなんであるか知らないのですか」と言ったので、わたしは「わが主よ、知りません」と言った。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6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すると彼はわたしに言った、「ゼルバベルに、主がお告げになる言葉はこれです。万軍の主は仰せられる、これは権勢によらず、能力によらず、わたしの霊によるのである。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7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大いなる山よ、おまえは何者か。おまえはゼルバベルの前に平地となる。彼は『恵みあれ、これに恵みあれ』と呼ばわりながら、かしら石を引き出すであろう」。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8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主の言葉がわたしに臨んで言うには、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9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「ゼルバベルの手はこの宮の礎をすえた。彼の手はこれを完成する。その時あなたがたは万軍の主が、わたしをあなたがたにつかわされたことを知る。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10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だれでも小さい事の日をいやしめた者は、ゼルバベルの手に、下げ振りのあるのを見て、喜ぶ。これらの七つのものは、あまねく全地を行き来する主の目である」。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11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わたしはまた彼に尋ねて、「燭台の左右にある、この二本のオリブの木はなんですか」と言い、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12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重ねてまた「この二本の金の管によって、油をそれから注ぎ出すオリブの二枝はなんですか」と言うと、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13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彼はわたしに答えて、「あなたはそれがなんであるか知らないのですか」と言ったので、「わが主よ、知りません」と言った。 </w:t>
      </w:r>
      <w:r w:rsidDel="00000000" w:rsidR="00000000" w:rsidRPr="00000000">
        <w:rPr>
          <w:rFonts w:ascii="Noto Sans JP" w:cs="Noto Sans JP" w:eastAsia="Noto Sans JP" w:hAnsi="Noto Sans JP"/>
          <w:color w:val="777a7b"/>
          <w:rtl w:val="0"/>
        </w:rPr>
        <w:t xml:space="preserve">14</w:t>
      </w:r>
      <w:r w:rsidDel="00000000" w:rsidR="00000000" w:rsidRPr="00000000">
        <w:rPr>
          <w:rFonts w:ascii="Noto Sans JP" w:cs="Noto Sans JP" w:eastAsia="Noto Sans JP" w:hAnsi="Noto Sans JP"/>
          <w:color w:val="121212"/>
          <w:rtl w:val="0"/>
        </w:rPr>
        <w:t xml:space="preserve">すると彼は言った、「これらはふたりの油そそがれた者で、全地の主のかたわらに立つ者です」。</w:t>
      </w:r>
      <w:r w:rsidDel="00000000" w:rsidR="00000000" w:rsidRPr="00000000">
        <w:rPr>
          <w:rtl w:val="0"/>
        </w:rPr>
      </w:r>
    </w:p>
    <w:sectPr>
      <w:headerReference r:id="rId6" w:type="default"/>
      <w:footerReference r:id="rId7" w:type="default"/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Noto Sans JP">
    <w:embedRegular w:fontKey="{00000000-0000-0000-0000-000000000000}" r:id="rId1" w:subsetted="0"/>
    <w:embedBold w:fontKey="{00000000-0000-0000-0000-000000000000}" r:id="rId2" w:subsetted="0"/>
  </w:font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8">
    <w:pPr>
      <w:bidi w:val="1"/>
      <w:ind w:left="720" w:firstLine="0"/>
      <w:jc w:val="center"/>
      <w:rPr>
        <w:sz w:val="20"/>
        <w:szCs w:val="20"/>
      </w:rPr>
    </w:pPr>
    <w:r w:rsidDel="00000000" w:rsidR="00000000" w:rsidRPr="00000000">
      <w:rPr>
        <w:rtl w:val="0"/>
      </w:rPr>
    </w:r>
    <w:r w:rsidDel="00000000" w:rsidR="00000000" w:rsidRPr="00000000">
      <w:rPr>
        <w:sz w:val="20"/>
        <w:szCs w:val="20"/>
        <w:rtl w:val="1"/>
      </w:rPr>
      <w:t xml:space="preserve">    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ָ</w:t>
    </w:r>
    <w:r w:rsidDel="00000000" w:rsidR="00000000" w:rsidRPr="00000000">
      <w:rPr>
        <w:sz w:val="20"/>
        <w:szCs w:val="20"/>
        <w:rtl w:val="1"/>
      </w:rPr>
      <w:t xml:space="preserve">ל</w:t>
    </w:r>
    <w:r w:rsidDel="00000000" w:rsidR="00000000" w:rsidRPr="00000000">
      <w:rPr>
        <w:sz w:val="20"/>
        <w:szCs w:val="20"/>
        <w:rtl w:val="1"/>
      </w:rPr>
      <w:t xml:space="preserve">ֶ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ף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א</w:t>
    </w:r>
    <w:r w:rsidDel="00000000" w:rsidR="00000000" w:rsidRPr="00000000">
      <w:rPr>
        <w:sz w:val="20"/>
        <w:szCs w:val="20"/>
        <w:rtl w:val="1"/>
      </w:rPr>
      <w:t xml:space="preserve">ֲ</w:t>
    </w:r>
    <w:r w:rsidDel="00000000" w:rsidR="00000000" w:rsidRPr="00000000">
      <w:rPr>
        <w:sz w:val="20"/>
        <w:szCs w:val="20"/>
        <w:rtl w:val="1"/>
      </w:rPr>
      <w:t xml:space="preserve">נ</w:t>
    </w:r>
    <w:r w:rsidDel="00000000" w:rsidR="00000000" w:rsidRPr="00000000">
      <w:rPr>
        <w:sz w:val="20"/>
        <w:szCs w:val="20"/>
        <w:rtl w:val="1"/>
      </w:rPr>
      <w:t xml:space="preserve">ִ</w:t>
    </w:r>
    <w:r w:rsidDel="00000000" w:rsidR="00000000" w:rsidRPr="00000000">
      <w:rPr>
        <w:sz w:val="20"/>
        <w:szCs w:val="20"/>
        <w:rtl w:val="1"/>
      </w:rPr>
      <w:t xml:space="preserve">י</w:t>
    </w:r>
    <w:r w:rsidDel="00000000" w:rsidR="00000000" w:rsidRPr="00000000">
      <w:rPr>
        <w:sz w:val="20"/>
        <w:szCs w:val="20"/>
        <w:rtl w:val="1"/>
      </w:rPr>
      <w:t xml:space="preserve"> </w:t>
    </w:r>
    <w:r w:rsidDel="00000000" w:rsidR="00000000" w:rsidRPr="00000000">
      <w:rPr>
        <w:sz w:val="20"/>
        <w:szCs w:val="20"/>
        <w:rtl w:val="1"/>
      </w:rPr>
      <w:t xml:space="preserve">ה</w:t>
    </w:r>
    <w:r w:rsidDel="00000000" w:rsidR="00000000" w:rsidRPr="00000000">
      <w:rPr>
        <w:sz w:val="20"/>
        <w:szCs w:val="20"/>
        <w:rtl w:val="1"/>
      </w:rPr>
      <w:t xml:space="preserve">ַ</w:t>
    </w:r>
    <w:r w:rsidDel="00000000" w:rsidR="00000000" w:rsidRPr="00000000">
      <w:rPr>
        <w:sz w:val="20"/>
        <w:szCs w:val="20"/>
        <w:rtl w:val="1"/>
      </w:rPr>
      <w:t xml:space="preserve">ת</w:t>
    </w:r>
    <w:r w:rsidDel="00000000" w:rsidR="00000000" w:rsidRPr="00000000">
      <w:rPr>
        <w:sz w:val="20"/>
        <w:szCs w:val="20"/>
        <w:rtl w:val="1"/>
      </w:rPr>
      <w:t xml:space="preserve">ָּ</w:t>
    </w:r>
    <w:r w:rsidDel="00000000" w:rsidR="00000000" w:rsidRPr="00000000">
      <w:rPr>
        <w:sz w:val="20"/>
        <w:szCs w:val="20"/>
        <w:rtl w:val="1"/>
      </w:rPr>
      <w:t xml:space="preserve">ו</w:t>
    </w:r>
    <w:r w:rsidDel="00000000" w:rsidR="00000000" w:rsidRPr="00000000">
      <w:rPr>
        <w:sz w:val="20"/>
        <w:szCs w:val="20"/>
        <w:rtl w:val="1"/>
      </w:rPr>
      <w:t xml:space="preserve">         </w:t>
      <w:tab/>
    </w:r>
  </w:p>
</w:ftr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007">
    <w:pPr>
      <w:bidi w:val="1"/>
      <w:rPr>
        <w:sz w:val="26"/>
        <w:szCs w:val="26"/>
      </w:rPr>
    </w:pP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אשר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 </w:t>
    </w:r>
    <w:r w:rsidDel="00000000" w:rsidR="00000000" w:rsidRPr="00000000">
      <w:rPr>
        <w:rFonts w:ascii="Noto Sans JP" w:cs="Noto Sans JP" w:eastAsia="Noto Sans JP" w:hAnsi="Noto Sans JP"/>
        <w:sz w:val="26"/>
        <w:szCs w:val="26"/>
        <w:rtl w:val="1"/>
      </w:rPr>
      <w:t xml:space="preserve">אהיה</w:t>
    </w:r>
    <w:r w:rsidDel="00000000" w:rsidR="00000000" w:rsidRPr="00000000">
      <w:rPr>
        <w:rFonts w:ascii="Noto Sans JP" w:cs="Noto Sans JP" w:eastAsia="Noto Sans JP" w:hAnsi="Noto Sans JP"/>
        <w:rtl w:val="0"/>
      </w:rPr>
      <w:tab/>
      <w:tab/>
      <w:tab/>
      <w:tab/>
      <w:tab/>
      <w:tab/>
      <w:t xml:space="preserve">   </w:t>
      <w:tab/>
      <w:t xml:space="preserve">                                         えいえの聖書だ</w:t>
    </w: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righ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righ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right"/>
      <w:pPr>
        <w:ind w:left="6480" w:hanging="360"/>
      </w:pPr>
      <w:rPr>
        <w:u w:val="none"/>
      </w:rPr>
    </w:lvl>
  </w:abstractNum>
  <w:num w:numId="1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NotoSansJP-regular.ttf"/><Relationship Id="rId2" Type="http://schemas.openxmlformats.org/officeDocument/2006/relationships/font" Target="fonts/NotoSansJP-bold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