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の子らよ、あどないに帰せよ、栄光と力とを主に帰せよ。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み名の栄光を主に帰せよ、聖なる装いをもって主を拝め。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主のみ声は水の上にあり、栄光の神は雷をとどろかせ、主は大水の上におられる。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主のみ声は力があり、主のみ声は威厳がある。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主のみ声は香柏を折り砕き、主はレバノンの香柏を折り砕かれる。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主はレバノンを子牛のように踊らせ、シリオンを若い野牛のように踊らされる。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主のみ声は炎をひらめかす。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主のみ声は荒野を震わせ、主はカデシの荒野を震わされる。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主のみ声はかしの木を巻きあげ、また林を裸にする。その宮で、すべてのものは呼ばわって言う、「栄光」と。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主は洪水の上に座し、主はみくらに座して、とこしえに王であらせられる。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主はその民に力を与え、平安をもってその民を祝福されるであろう。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