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just worn out. “By my life, I will never abandon my complaint; I will speak out in my soul’s bitterness.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say to EHYEH, ‘Don’t condemn me! Tell me why you are contending with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gain some advantage from oppressing, from spurning what your own hands made, from shining on the schemes of the wicked?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have eyes of flesh? Do you see as humans see?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your days like the days of mortals? Are your years like human years,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you have to seek my guilt and search out my sin?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that I won’t be condemned, yet no one can rescue me from your power.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own hands shaped me, they made me; so why do you turn and destroy me?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Please remember that you made me, like clay; will you return me to dust?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Didn’t you pour me out like milk, then let me thicken like cheese?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clothed me with skin and flesh you knit me together with bones and sinews.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granted me life and grace; your careful attention preserved my spirit.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“‘Yet you hid these things in your heart; I know what your secret purpose was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watch until I would sin and then not absolve me of my guilt.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am wicked, woe to me! — but if righteous, I still don’t dare raise my head, because I am so filled with shame, so soaked in my misery.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rise up to hunt me like a lion, and you keep treating me in such peculiar ways.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keep producing fresh witnesses against me, your anger against me keeps growing, your troops assail me, wave after wave.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“‘Why did you bring me out of the womb? I wish I had died there where no eye could see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have been as if I had never existed, I would have been carried from womb to grave.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Aren’t my days few? So stop! Leave me alone, so I can cheer up a little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I go to the place of no return, to the land of darkness and death-dark gloom,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land of gloom like darkness itself, of dense darkness and utter disorder, where even the light is dark.’”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