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holy brothers and sisters, partners in a heavenly calling, take notice of Yeshua—the Emissary and Kohen Gadol we affirm.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faithful to the One who appointed Him in His house—as was Moses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been considered worthy of more glory than Moses, even as the builder of the house has more honor than the house.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 house is built by someone, but the builder of all things is HaElohim.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Moshe surely was faithful in all His house as a servant, for a witness of things to be spoken later.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HaMashiach, as Son, is over His house—and we are His house, if we hold firm to our boldness and what we are proud to hope.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just as the Ruach ha-Kodesh says, “Today if you hear His voice,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harden your hearts as in the rebellion, on the day of testing in the wilderness.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your fathers put Me to the test, though they saw My works for forty years.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was provoked by this generation, and I said, ‘They always go astray in their heart, and they have not known My ways.’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swore in my wrath, ‘They shall not enter My rest.’”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care, brothers and sisters, that none of you has an evil heart of unbelief that falls away from the living M’Elohim.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encourage one another day by day—as long as it is called “Today”—so that none of you may be hardened by the deceitfulness of sin.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have become partners of L’Mashiach, if we hold our original conviction firm until the end.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it is said, “Today if you hear His voice, do not harden your hearts as in the rebellion.”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which ones heard and rebelled? Indeed, was it not all who came out of Egypt with Moses?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with whom was He provoked for forty years? Was it not with those who sinned, whose bodies fell in the wilderness?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whom did He swear that they would not enter His rest? Was it not to those who were disobedient?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 see that they were not able to enter in because of lack of trust.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