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These events took place in the time of Achashverosh, the Achashverosh who ruled over 127 provinces from India to Ethiopia.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It was in those days, when King Achashverosh sat on his royal throne in Shushan the capital,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in the third year of his reign, that he gave a banquet for all his officials and courtiers. The army of Persia and Media, the nobles and the provincial officials were in attendance.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He displayed the dazzling wealth of his kingdom and his great splendor for a long time, 180 days.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At the end of that time, the king gave a seven-day banquet in the courtyard of the royal palace garden for all the people, both great and small, there in Shushan the capital.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There were white cotton curtains and blue hangings fastened to silver rods, with cords of fine linen and purple; the columns were marble; the couches [for reclining at table] were of gold and silver on a mosaic flooring of malachite, marble, mother-of-pearl and onyx.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Drinks were served in gold goblets, with each goblet different from the others. There was royal wine in abundance, as befits royal bounty.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The drinking was not according to any fixed rule, for the king had ordered the stewards to serve each man what he wanted.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Also Vashti the queen gave a banquet for the women in the royal house belonging to King Achashverosh.</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10</w:t>
      </w:r>
      <w:r w:rsidDel="00000000" w:rsidR="00000000" w:rsidRPr="00000000">
        <w:rPr>
          <w:color w:val="121212"/>
          <w:sz w:val="27"/>
          <w:szCs w:val="27"/>
          <w:rtl w:val="0"/>
        </w:rPr>
        <w:t xml:space="preserve">On the seventh day, when the king was in high spirits from the wine, he ordered Mehuman, Bizta, Harvona, Bigta, Avagta, Zetar and Karkas, the seven officers who attended him,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to bring Queen Vashti before the king with the royal crown, in order to show the people and the officials her beauty, for she was indeed a good-looking woman.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But Queen Vashti refused to come at the order of the king, which he had sent through his officers. This enraged the king — his anger blazed inside him.</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13</w:t>
      </w:r>
      <w:r w:rsidDel="00000000" w:rsidR="00000000" w:rsidRPr="00000000">
        <w:rPr>
          <w:color w:val="121212"/>
          <w:sz w:val="27"/>
          <w:szCs w:val="27"/>
          <w:rtl w:val="0"/>
        </w:rPr>
        <w:t xml:space="preserve">As was the king’s custom, he consulted sages well-versed in matters of law and justice.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With him were Karshna, Shetar, Admata, Tarshish, Meres, Marsna and Memukhan, the seven vice-regents of Persia and Media, who were part of the king’s inner circle and were the most important officials in the kingdom.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[The king asked the sages,] “According to the law, what should we do to Queen Vashti, since she didn’t obey the order of King Achashverosh conveyed by the officers?”</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16</w:t>
      </w:r>
      <w:r w:rsidDel="00000000" w:rsidR="00000000" w:rsidRPr="00000000">
        <w:rPr>
          <w:color w:val="121212"/>
          <w:sz w:val="27"/>
          <w:szCs w:val="27"/>
          <w:rtl w:val="0"/>
        </w:rPr>
        <w:t xml:space="preserve">Memukhan presented the king and vice-regents this answer: “Vashti the queen has wronged not only the king, but also all the officials and all the peoples in all the provinces of King Achashverosh;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because this act of the queen’s will become known to all the women, who will then start showing disrespect toward their own husbands; they will say, ‘King Achashverosh ordered Vashti the queen to be brought before him, but she wouldn’t come.’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Moreover, the noble ladies of Persia and Media who hear of the queen’s conduct will mention it to all the king’s officials, which will bring about no end of disrespect and discord.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If it pleases his majesty, let him issue a royal decree — and let it be written as one of the laws of the Persians and Medes, which are irrevocable — that Vashti is never again to be admitted into the presence of King Achashverosh, and that the king give her royal position to someone better than she. </w:t>
      </w:r>
      <w:r w:rsidDel="00000000" w:rsidR="00000000" w:rsidRPr="00000000">
        <w:rPr>
          <w:color w:val="777a7b"/>
          <w:sz w:val="21"/>
          <w:szCs w:val="21"/>
          <w:rtl w:val="0"/>
        </w:rPr>
        <w:t xml:space="preserve">20</w:t>
      </w:r>
      <w:r w:rsidDel="00000000" w:rsidR="00000000" w:rsidRPr="00000000">
        <w:rPr>
          <w:color w:val="121212"/>
          <w:sz w:val="27"/>
          <w:szCs w:val="27"/>
          <w:rtl w:val="0"/>
        </w:rPr>
        <w:t xml:space="preserve">When the edict made by the king is proclaimed throughout the length and breadth of the kingdom, then all wives will honor their husbands, whether great or small.”</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21</w:t>
      </w:r>
      <w:r w:rsidDel="00000000" w:rsidR="00000000" w:rsidRPr="00000000">
        <w:rPr>
          <w:color w:val="121212"/>
          <w:sz w:val="27"/>
          <w:szCs w:val="27"/>
          <w:rtl w:val="0"/>
        </w:rPr>
        <w:t xml:space="preserve">This advice pleased the king and the officials, so the king did what Memukhan had suggested —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he sent letters to all the royal provinces, to each province in its own script and to each people in their own language, that every man should be master in his own house and speak the language of his own people.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3">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