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have seen another evil under the sun, and it weighs heavily on people: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case in which God gives someone riches, wealth and honor, so that he lacks nothing that he wants; but God does not give him the power to enjoy them, and some stranger gets to enjoy them — this is meaningless, evil, sick.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after="0" w:after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Suppose a man fathers a hundred children and lives many years, so that he has a long life, but he fails to enjoy himself; then, even if he were to [live indefinitely and therefore] never be buried, I say that it would be better to be born dead.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For the arrival of a stillborn baby is a futile thing, and its departure is in darkness; its name is [forgotten,] covered in darkness;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and although it has never seen or known the sun, it is more content than he is,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without enjoying himself, even if he were to live a thousand years twice over. Doesn’t everyone go to the same place?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before="0" w:before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purpose of all toil is to fill the mouth,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yet the appetite is never satisfied.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What advantage has the wise over the fool,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or the person with experience, if he is poor?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Better what the eyes can see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than meandering desire.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Yet this too is pointless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feeding on wind.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Whatever he is, he was named long ago,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it is known that he is merely human;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moreover, he cannot defeat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what is mightier than he [death].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There are many things that only add to futility,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so how do humans benefit from them?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For who knows what is good for someone during life,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during the days of his pointless life spent like a shadow?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Who can tell what will happen under the sun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after a person is gone?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2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