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“Look, any hope of capturing him is futile — one would fall prostrate at the very sight of him.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one is fierce enough to rouse him, so who can stand up to me?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has given me anything and made me pay it back? Everything belongs to me under all of heaven.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have more to say about his limbs, his strong talk, and his matchless strength.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can strip off his scaly garment? Who can enter his jaws?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can pry open the doors of his face, so close to his terrible teeth?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“His pride is his rows of scales, tightly sealed together 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is so close to the next that no air can come between them;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are stuck one to another, interlocked and impervious.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“When he sneezes, light flashes out; his eyes are like the shimmer of dawn.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his mouth go fiery torches, and sparks come flying out.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nostrils belch steam like a caldron boiling on the fire.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breath sets coals ablaze; flames pour from his mouth.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“Strength resides in his neck, and dismay dances ahead of him as he goes.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layers of his flesh stick together; they are firm on him, immovable.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heart is as hard as a stone, yes, hard as a lower millstone.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rears himself up, the idols are afraid, beside themselves in despair.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a sword touches him, it won’t stick; neither will a spear, or a dart, or a lance.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regards iron as straw and bronze as rotten wood.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arrow can’t make him flee; for him, slingstones are so much chaff.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Clubs count as hay, and he laughs at a quivering javelin.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belly is as sharp as fragments of pottery, so he moves across the mud like a threshing-sledge.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makes the depths seethe like a pot, he makes the sea [boil] like a perfume kettle.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leaves a shining wake behind him, making the deep seem to have white hair.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“On earth there is nothing like him, a creature without fear.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looks straight at all high things. He is king over all proud beasts.”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